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5A4B7">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《兴业银行西宁分行中心机房搬迁及集成服务项目》供应商征集反馈材料-公司名称（全称）</w:t>
      </w:r>
    </w:p>
    <w:p w14:paraId="6D7711CB">
      <w:pPr>
        <w:ind w:left="0" w:leftChars="0" w:firstLine="0" w:firstLineChars="0"/>
        <w:jc w:val="center"/>
        <w:rPr>
          <w:rFonts w:hint="eastAsia" w:ascii="仿宋" w:hAnsi="仿宋" w:eastAsia="仿宋"/>
          <w:b/>
          <w:bCs/>
          <w:sz w:val="36"/>
          <w:szCs w:val="36"/>
          <w:lang w:val="en-US" w:eastAsia="zh-CN"/>
        </w:rPr>
      </w:pPr>
    </w:p>
    <w:p w14:paraId="32575F4F">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65227ABA">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66AD92F2">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45B00225">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4A59FF6C">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0989C535">
      <w:pPr>
        <w:pStyle w:val="9"/>
        <w:rPr>
          <w:rFonts w:hint="eastAsia"/>
          <w:lang w:val="en-US" w:eastAsia="zh-CN"/>
        </w:rPr>
      </w:pPr>
    </w:p>
    <w:p w14:paraId="74F007AA">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535"/>
        <w:gridCol w:w="4342"/>
      </w:tblGrid>
      <w:tr w14:paraId="0408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74812390">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535" w:type="dxa"/>
            <w:vAlign w:val="center"/>
          </w:tcPr>
          <w:p w14:paraId="7EC26EF1">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342" w:type="dxa"/>
            <w:vAlign w:val="center"/>
          </w:tcPr>
          <w:p w14:paraId="7576150D">
            <w:pPr>
              <w:topLinePunct w:val="0"/>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14:paraId="5DC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0FCB0B86">
            <w:pPr>
              <w:topLinePunct w:val="0"/>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一、采购需求及资格要求</w:t>
            </w:r>
            <w:r>
              <w:rPr>
                <w:rFonts w:hint="eastAsia" w:ascii="仿宋" w:hAnsi="仿宋" w:eastAsia="仿宋" w:cs="仿宋"/>
                <w:b/>
                <w:bCs/>
                <w:sz w:val="28"/>
                <w:szCs w:val="28"/>
                <w:lang w:val="en-US" w:eastAsia="zh-CN"/>
              </w:rPr>
              <w:t>/供应商资质要求</w:t>
            </w:r>
          </w:p>
        </w:tc>
      </w:tr>
      <w:tr w14:paraId="686B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57299FF3">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1.1采购需求</w:t>
            </w:r>
          </w:p>
          <w:p w14:paraId="00F31A97">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lang w:val="en-US" w:eastAsia="zh-CN"/>
              </w:rPr>
            </w:pPr>
            <w:r>
              <w:rPr>
                <w:rFonts w:hint="eastAsia" w:ascii="仿宋" w:hAnsi="仿宋" w:eastAsia="仿宋" w:cs="仿宋"/>
                <w:kern w:val="2"/>
                <w:sz w:val="21"/>
                <w:szCs w:val="21"/>
                <w:lang w:val="en-US" w:eastAsia="zh-CN" w:bidi="ar-SA"/>
              </w:rPr>
              <w:t>根据分行大楼整体搬迁计划，需开展搬迁机房及迁移应用相关工作，主要包括现状梳理和准备、设备运输、线缆辅材、备品备件支持、网络技术支持、服务器技术支持、小型机技术支持、数据库技术支持、超融合技术支持、网络安全策略优化等技术服务内容。</w:t>
            </w:r>
          </w:p>
        </w:tc>
        <w:tc>
          <w:tcPr>
            <w:tcW w:w="2535" w:type="dxa"/>
            <w:vAlign w:val="center"/>
          </w:tcPr>
          <w:p w14:paraId="04F6F701">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595AFB54">
            <w:pPr>
              <w:topLinePunct w:val="0"/>
              <w:ind w:firstLine="560" w:firstLineChars="200"/>
              <w:rPr>
                <w:rFonts w:hint="eastAsia" w:ascii="仿宋" w:hAnsi="仿宋" w:eastAsia="仿宋" w:cs="仿宋"/>
                <w:sz w:val="28"/>
                <w:szCs w:val="28"/>
              </w:rPr>
            </w:pPr>
          </w:p>
        </w:tc>
      </w:tr>
      <w:tr w14:paraId="2236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1E6B64C5">
            <w:pPr>
              <w:topLinePunct w:val="0"/>
              <w:rPr>
                <w:rFonts w:hint="eastAsia" w:ascii="仿宋" w:hAnsi="仿宋" w:eastAsia="仿宋" w:cs="仿宋"/>
                <w:sz w:val="28"/>
                <w:szCs w:val="28"/>
              </w:rPr>
            </w:pPr>
            <w:r>
              <w:rPr>
                <w:rFonts w:hint="eastAsia" w:ascii="仿宋" w:hAnsi="仿宋" w:eastAsia="仿宋" w:cs="仿宋"/>
                <w:sz w:val="28"/>
                <w:szCs w:val="28"/>
              </w:rPr>
              <w:t>1.2技术服务要求</w:t>
            </w:r>
          </w:p>
        </w:tc>
      </w:tr>
      <w:tr w14:paraId="64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CAB596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1.2.1 具有银行机构搬迁机房实施项目案例，搬迁机房案例规模和重要程度与我行同等或更高。具备分行中心机房迁移完整的方法论。</w:t>
            </w:r>
          </w:p>
        </w:tc>
        <w:tc>
          <w:tcPr>
            <w:tcW w:w="2535" w:type="dxa"/>
            <w:vAlign w:val="center"/>
          </w:tcPr>
          <w:p w14:paraId="1EFDF689">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2F33ECDE">
            <w:pPr>
              <w:topLinePunct w:val="0"/>
              <w:ind w:firstLine="560" w:firstLineChars="200"/>
              <w:rPr>
                <w:rFonts w:hint="eastAsia" w:ascii="仿宋" w:hAnsi="仿宋" w:eastAsia="仿宋" w:cs="仿宋"/>
                <w:sz w:val="28"/>
                <w:szCs w:val="28"/>
              </w:rPr>
            </w:pPr>
          </w:p>
        </w:tc>
      </w:tr>
      <w:tr w14:paraId="3D7D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8E55405">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1.2.2 项目经理具备丰富的银行机构搬迁机房管理经验，除项目经理外服务团队主要技术人员具备HCIE(CCIE或H3CIE)、网络工程师(HCIP或CCNP或H3CSE)、OCM等证书。服务团队人员有小型机专业技术支持能力，包括小型机故障修复、备份、恢复等工作。</w:t>
            </w:r>
          </w:p>
        </w:tc>
        <w:tc>
          <w:tcPr>
            <w:tcW w:w="2535" w:type="dxa"/>
            <w:vAlign w:val="center"/>
          </w:tcPr>
          <w:p w14:paraId="6F0948F7">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0FE1762D">
            <w:pPr>
              <w:topLinePunct w:val="0"/>
              <w:ind w:firstLine="560" w:firstLineChars="200"/>
              <w:rPr>
                <w:rFonts w:hint="eastAsia" w:ascii="仿宋" w:hAnsi="仿宋" w:eastAsia="仿宋" w:cs="仿宋"/>
                <w:sz w:val="28"/>
                <w:szCs w:val="28"/>
              </w:rPr>
            </w:pPr>
          </w:p>
        </w:tc>
      </w:tr>
      <w:tr w14:paraId="0A1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9FC38B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1.2.3 对银行机构搬迁机房有足够的认识，提供清晰完整的设备搬迁方案和实施管理，包括设备搬迁操作规范，物流运输规范，设备保护方案；</w:t>
            </w:r>
          </w:p>
        </w:tc>
        <w:tc>
          <w:tcPr>
            <w:tcW w:w="2535" w:type="dxa"/>
            <w:vAlign w:val="center"/>
          </w:tcPr>
          <w:p w14:paraId="5A375667">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2E696D0A">
            <w:pPr>
              <w:topLinePunct w:val="0"/>
              <w:ind w:firstLine="560" w:firstLineChars="200"/>
              <w:rPr>
                <w:rFonts w:hint="eastAsia" w:ascii="仿宋" w:hAnsi="仿宋" w:eastAsia="仿宋" w:cs="仿宋"/>
                <w:sz w:val="28"/>
                <w:szCs w:val="28"/>
              </w:rPr>
            </w:pPr>
          </w:p>
        </w:tc>
      </w:tr>
      <w:tr w14:paraId="5403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438E4C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1.2.4 采用专业的物流运输公司，使用专业的设备搬运工具和保护材料，提供完整的操作流程(需提供物流公司资质等材料)。</w:t>
            </w:r>
          </w:p>
        </w:tc>
        <w:tc>
          <w:tcPr>
            <w:tcW w:w="2535" w:type="dxa"/>
            <w:vAlign w:val="center"/>
          </w:tcPr>
          <w:p w14:paraId="4E794403">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596A7A3F">
            <w:pPr>
              <w:topLinePunct w:val="0"/>
              <w:ind w:firstLine="560" w:firstLineChars="200"/>
              <w:rPr>
                <w:rFonts w:hint="eastAsia" w:ascii="仿宋" w:hAnsi="仿宋" w:eastAsia="仿宋" w:cs="仿宋"/>
                <w:sz w:val="28"/>
                <w:szCs w:val="28"/>
              </w:rPr>
            </w:pPr>
          </w:p>
        </w:tc>
      </w:tr>
      <w:tr w14:paraId="296A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25BFAE1A">
            <w:pPr>
              <w:topLinePunct w:val="0"/>
              <w:rPr>
                <w:rFonts w:hint="eastAsia" w:ascii="仿宋" w:hAnsi="仿宋" w:eastAsia="仿宋" w:cs="仿宋"/>
                <w:sz w:val="28"/>
                <w:szCs w:val="28"/>
              </w:rPr>
            </w:pPr>
            <w:r>
              <w:rPr>
                <w:rFonts w:hint="eastAsia" w:ascii="仿宋" w:hAnsi="仿宋" w:eastAsia="仿宋" w:cs="仿宋"/>
                <w:b/>
                <w:bCs/>
                <w:sz w:val="28"/>
                <w:szCs w:val="28"/>
                <w:lang w:val="en-US" w:eastAsia="zh-CN"/>
              </w:rPr>
              <w:t>二、报名要求</w:t>
            </w:r>
          </w:p>
        </w:tc>
      </w:tr>
      <w:tr w14:paraId="1D4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21C1BB29">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  依法成立，为存续、在营、开业、在册、登记成立等正常企业状态。</w:t>
            </w:r>
          </w:p>
        </w:tc>
        <w:tc>
          <w:tcPr>
            <w:tcW w:w="2535" w:type="dxa"/>
            <w:vAlign w:val="center"/>
          </w:tcPr>
          <w:p w14:paraId="5CD8FC82">
            <w:pPr>
              <w:topLinePunct w:val="0"/>
              <w:ind w:firstLine="560" w:firstLineChars="200"/>
              <w:rPr>
                <w:rFonts w:hint="eastAsia" w:ascii="仿宋" w:hAnsi="仿宋" w:eastAsia="仿宋" w:cs="仿宋"/>
                <w:sz w:val="28"/>
                <w:szCs w:val="28"/>
              </w:rPr>
            </w:pPr>
          </w:p>
        </w:tc>
        <w:tc>
          <w:tcPr>
            <w:tcW w:w="4342" w:type="dxa"/>
            <w:vAlign w:val="center"/>
          </w:tcPr>
          <w:p w14:paraId="23FFB5FD">
            <w:pPr>
              <w:topLinePunct w:val="0"/>
              <w:ind w:firstLine="560" w:firstLineChars="200"/>
              <w:rPr>
                <w:rFonts w:hint="eastAsia" w:ascii="仿宋" w:hAnsi="仿宋" w:eastAsia="仿宋" w:cs="仿宋"/>
                <w:sz w:val="28"/>
                <w:szCs w:val="28"/>
              </w:rPr>
            </w:pPr>
          </w:p>
        </w:tc>
      </w:tr>
      <w:tr w14:paraId="472F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0DD2E081">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  在兴业银行开立对公账户，若中标本项目，则通过兴业银行对公账户结算该项目相关费用。</w:t>
            </w:r>
          </w:p>
        </w:tc>
        <w:tc>
          <w:tcPr>
            <w:tcW w:w="2535" w:type="dxa"/>
            <w:vAlign w:val="center"/>
          </w:tcPr>
          <w:p w14:paraId="4773BD76">
            <w:pPr>
              <w:topLinePunct w:val="0"/>
              <w:ind w:firstLine="560" w:firstLineChars="200"/>
              <w:rPr>
                <w:rFonts w:hint="eastAsia" w:ascii="仿宋" w:hAnsi="仿宋" w:eastAsia="仿宋" w:cs="仿宋"/>
                <w:sz w:val="28"/>
                <w:szCs w:val="28"/>
              </w:rPr>
            </w:pPr>
          </w:p>
        </w:tc>
        <w:tc>
          <w:tcPr>
            <w:tcW w:w="4342" w:type="dxa"/>
            <w:vAlign w:val="center"/>
          </w:tcPr>
          <w:p w14:paraId="51BA7D8C">
            <w:pPr>
              <w:topLinePunct w:val="0"/>
              <w:ind w:firstLine="560" w:firstLineChars="200"/>
              <w:rPr>
                <w:rFonts w:hint="eastAsia" w:ascii="仿宋" w:hAnsi="仿宋" w:eastAsia="仿宋" w:cs="仿宋"/>
                <w:sz w:val="28"/>
                <w:szCs w:val="28"/>
              </w:rPr>
            </w:pPr>
          </w:p>
        </w:tc>
      </w:tr>
      <w:tr w14:paraId="3BA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BDCA1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  充分理解我行服务需求并能够根据需求提供相应的服务。</w:t>
            </w:r>
          </w:p>
        </w:tc>
        <w:tc>
          <w:tcPr>
            <w:tcW w:w="2535" w:type="dxa"/>
            <w:vAlign w:val="center"/>
          </w:tcPr>
          <w:p w14:paraId="6AB95D20">
            <w:pPr>
              <w:topLinePunct w:val="0"/>
              <w:ind w:firstLine="560" w:firstLineChars="200"/>
              <w:rPr>
                <w:rFonts w:hint="eastAsia" w:ascii="仿宋" w:hAnsi="仿宋" w:eastAsia="仿宋" w:cs="仿宋"/>
                <w:sz w:val="28"/>
                <w:szCs w:val="28"/>
              </w:rPr>
            </w:pPr>
          </w:p>
        </w:tc>
        <w:tc>
          <w:tcPr>
            <w:tcW w:w="4342" w:type="dxa"/>
            <w:vAlign w:val="center"/>
          </w:tcPr>
          <w:p w14:paraId="25CC9463">
            <w:pPr>
              <w:topLinePunct w:val="0"/>
              <w:ind w:firstLine="560" w:firstLineChars="200"/>
              <w:rPr>
                <w:rFonts w:hint="eastAsia" w:ascii="仿宋" w:hAnsi="仿宋" w:eastAsia="仿宋" w:cs="仿宋"/>
                <w:sz w:val="28"/>
                <w:szCs w:val="28"/>
              </w:rPr>
            </w:pPr>
          </w:p>
        </w:tc>
      </w:tr>
      <w:tr w14:paraId="303E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91CCB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  具有良好的商业</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"javascript:creditChatClick('%E4%BF%A1%E8%AA%89')"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信誉</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和财务情况。</w:t>
            </w:r>
          </w:p>
        </w:tc>
        <w:tc>
          <w:tcPr>
            <w:tcW w:w="2535" w:type="dxa"/>
            <w:vAlign w:val="center"/>
          </w:tcPr>
          <w:p w14:paraId="3271EC50">
            <w:pPr>
              <w:topLinePunct w:val="0"/>
              <w:ind w:firstLine="560" w:firstLineChars="200"/>
              <w:rPr>
                <w:rFonts w:hint="eastAsia" w:ascii="仿宋" w:hAnsi="仿宋" w:eastAsia="仿宋" w:cs="仿宋"/>
                <w:sz w:val="28"/>
                <w:szCs w:val="28"/>
              </w:rPr>
            </w:pPr>
          </w:p>
        </w:tc>
        <w:tc>
          <w:tcPr>
            <w:tcW w:w="4342" w:type="dxa"/>
            <w:vAlign w:val="center"/>
          </w:tcPr>
          <w:p w14:paraId="0B37E05C">
            <w:pPr>
              <w:topLinePunct w:val="0"/>
              <w:ind w:firstLine="560" w:firstLineChars="200"/>
              <w:rPr>
                <w:rFonts w:hint="eastAsia" w:ascii="仿宋" w:hAnsi="仿宋" w:eastAsia="仿宋" w:cs="仿宋"/>
                <w:sz w:val="28"/>
                <w:szCs w:val="28"/>
              </w:rPr>
            </w:pPr>
          </w:p>
        </w:tc>
      </w:tr>
      <w:tr w14:paraId="28A8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790922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  依法缴纳税收和社会保障资金。</w:t>
            </w:r>
          </w:p>
        </w:tc>
        <w:tc>
          <w:tcPr>
            <w:tcW w:w="2535" w:type="dxa"/>
            <w:vAlign w:val="center"/>
          </w:tcPr>
          <w:p w14:paraId="2EB185D3">
            <w:pPr>
              <w:topLinePunct w:val="0"/>
              <w:ind w:firstLine="560" w:firstLineChars="200"/>
              <w:rPr>
                <w:rFonts w:hint="eastAsia" w:ascii="仿宋" w:hAnsi="仿宋" w:eastAsia="仿宋" w:cs="仿宋"/>
                <w:sz w:val="28"/>
                <w:szCs w:val="28"/>
              </w:rPr>
            </w:pPr>
          </w:p>
        </w:tc>
        <w:tc>
          <w:tcPr>
            <w:tcW w:w="4342" w:type="dxa"/>
            <w:vAlign w:val="center"/>
          </w:tcPr>
          <w:p w14:paraId="3677EEFD">
            <w:pPr>
              <w:topLinePunct w:val="0"/>
              <w:ind w:firstLine="560" w:firstLineChars="200"/>
              <w:rPr>
                <w:rFonts w:hint="eastAsia" w:ascii="仿宋" w:hAnsi="仿宋" w:eastAsia="仿宋" w:cs="仿宋"/>
                <w:sz w:val="28"/>
                <w:szCs w:val="28"/>
              </w:rPr>
            </w:pPr>
          </w:p>
        </w:tc>
      </w:tr>
      <w:tr w14:paraId="78C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01DEF1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2.6  未被“</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"javascript:creditChatClick('%E4%BF%A1%E7%94%A8')"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信用</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中国”网列入“重大税收违法案件当事人名单”、未被“中国执行信息公开网”列入“</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"javascript:creditChatClick('%E5%A4%B1%E4%BF%A1')"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失信</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被执行人名单”、未被“中国政府采购网”列入“政府采购严重违法失信行为信息记录名单”、未被“国家企业信用信息公示系统”列入网站“严重违法失信企业名单”，不在兴业银行供应商禁用/退出期内。</w:t>
            </w:r>
          </w:p>
        </w:tc>
        <w:tc>
          <w:tcPr>
            <w:tcW w:w="2535" w:type="dxa"/>
            <w:vAlign w:val="center"/>
          </w:tcPr>
          <w:p w14:paraId="3BA7E873">
            <w:pPr>
              <w:topLinePunct w:val="0"/>
              <w:ind w:firstLine="560" w:firstLineChars="200"/>
              <w:rPr>
                <w:rFonts w:hint="eastAsia" w:ascii="仿宋" w:hAnsi="仿宋" w:eastAsia="仿宋" w:cs="仿宋"/>
                <w:sz w:val="28"/>
                <w:szCs w:val="28"/>
              </w:rPr>
            </w:pPr>
          </w:p>
        </w:tc>
        <w:tc>
          <w:tcPr>
            <w:tcW w:w="4342" w:type="dxa"/>
            <w:vAlign w:val="center"/>
          </w:tcPr>
          <w:p w14:paraId="7BDEC40D">
            <w:pPr>
              <w:topLinePunct w:val="0"/>
              <w:ind w:firstLine="560" w:firstLineChars="200"/>
              <w:rPr>
                <w:rFonts w:hint="eastAsia" w:ascii="仿宋" w:hAnsi="仿宋" w:eastAsia="仿宋" w:cs="仿宋"/>
                <w:sz w:val="28"/>
                <w:szCs w:val="28"/>
              </w:rPr>
            </w:pPr>
          </w:p>
        </w:tc>
      </w:tr>
      <w:tr w14:paraId="24C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7895E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2.7  经营范围经国家行政管理部门依法批准，同时获得从事行业有效执业证明、行政许可、专业资质等证照。</w:t>
            </w:r>
          </w:p>
        </w:tc>
        <w:tc>
          <w:tcPr>
            <w:tcW w:w="2535" w:type="dxa"/>
            <w:vAlign w:val="center"/>
          </w:tcPr>
          <w:p w14:paraId="47B7399F">
            <w:pPr>
              <w:topLinePunct w:val="0"/>
              <w:ind w:firstLine="560" w:firstLineChars="200"/>
              <w:rPr>
                <w:rFonts w:hint="eastAsia" w:ascii="仿宋" w:hAnsi="仿宋" w:eastAsia="仿宋" w:cs="仿宋"/>
                <w:sz w:val="28"/>
                <w:szCs w:val="28"/>
              </w:rPr>
            </w:pPr>
          </w:p>
        </w:tc>
        <w:tc>
          <w:tcPr>
            <w:tcW w:w="4342" w:type="dxa"/>
            <w:vAlign w:val="center"/>
          </w:tcPr>
          <w:p w14:paraId="550D6DD2">
            <w:pPr>
              <w:topLinePunct w:val="0"/>
              <w:ind w:firstLine="560" w:firstLineChars="200"/>
              <w:rPr>
                <w:rFonts w:hint="eastAsia" w:ascii="仿宋" w:hAnsi="仿宋" w:eastAsia="仿宋" w:cs="仿宋"/>
                <w:sz w:val="28"/>
                <w:szCs w:val="28"/>
              </w:rPr>
            </w:pPr>
          </w:p>
        </w:tc>
      </w:tr>
      <w:tr w14:paraId="2B0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67BF7A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  两年内目标服务领域未出现严重安全事件。</w:t>
            </w:r>
          </w:p>
        </w:tc>
        <w:tc>
          <w:tcPr>
            <w:tcW w:w="2535" w:type="dxa"/>
            <w:vAlign w:val="center"/>
          </w:tcPr>
          <w:p w14:paraId="1C75ACE3">
            <w:pPr>
              <w:topLinePunct w:val="0"/>
              <w:ind w:firstLine="560" w:firstLineChars="200"/>
              <w:rPr>
                <w:rFonts w:hint="eastAsia" w:ascii="仿宋" w:hAnsi="仿宋" w:eastAsia="仿宋" w:cs="仿宋"/>
                <w:sz w:val="28"/>
                <w:szCs w:val="28"/>
              </w:rPr>
            </w:pPr>
          </w:p>
        </w:tc>
        <w:tc>
          <w:tcPr>
            <w:tcW w:w="4342" w:type="dxa"/>
            <w:vAlign w:val="center"/>
          </w:tcPr>
          <w:p w14:paraId="5656F315">
            <w:pPr>
              <w:topLinePunct w:val="0"/>
              <w:ind w:firstLine="560" w:firstLineChars="200"/>
              <w:rPr>
                <w:rFonts w:hint="eastAsia" w:ascii="仿宋" w:hAnsi="仿宋" w:eastAsia="仿宋" w:cs="仿宋"/>
                <w:sz w:val="28"/>
                <w:szCs w:val="28"/>
              </w:rPr>
            </w:pPr>
          </w:p>
        </w:tc>
      </w:tr>
    </w:tbl>
    <w:p w14:paraId="465EF711">
      <w:pPr>
        <w:pStyle w:val="2"/>
        <w:ind w:left="0" w:leftChars="0" w:firstLine="0" w:firstLineChars="0"/>
        <w:rPr>
          <w:rFonts w:hint="eastAsia"/>
        </w:rPr>
      </w:pPr>
    </w:p>
    <w:p w14:paraId="422E0666">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1FA6C6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3B18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413AB8A">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6DA3A72E">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1F37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88E3D9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4CFD72E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20297B9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514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54B9A2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35BCC79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61E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DF952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311FD04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EE0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529FA0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5250F68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5742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C66FB7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0F98A8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6F7962C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4ABD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D468AD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041FF63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1F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ED97A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4ECAB5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39F1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28F3F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2AB63A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65313D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近三年每年营收数据及三年合计</w:t>
            </w:r>
          </w:p>
          <w:p w14:paraId="73E334A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近三年每年净利润数据及三年合计</w:t>
            </w:r>
          </w:p>
          <w:p w14:paraId="0AEB91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0D43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5CBE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4ABA32C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10CD9E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46C6F7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736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34F58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501FB16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5647BC5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C1B5E5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54B32D8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1F5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CC324D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1ED238C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3C3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2D055B7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641141B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430459F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574E5B3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4D7F7C4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357B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40536A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20C9381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CE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6C078F8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5E089422">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4F2A9F2B">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2CCAEFC2">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214F294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2AF31A4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479B062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6FCFD1D0">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633D9F38">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3F83FB85">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6C2BBD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48C91626">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兴业银行西宁分行网络及防火墙等设备采购项目</w:t>
      </w:r>
      <w:r>
        <w:rPr>
          <w:rFonts w:hint="eastAsia" w:ascii="仿宋" w:hAnsi="仿宋" w:eastAsia="仿宋" w:cs="仿宋"/>
          <w:b w:val="0"/>
          <w:bCs w:val="0"/>
          <w:sz w:val="32"/>
          <w:szCs w:val="32"/>
        </w:rPr>
        <w:t>》相关案例情况：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3090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315BB4F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18AC87A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0B1A9B3A">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6A2153C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14D13B2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067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00ED882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0C28521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04AF2A9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68FC98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42DBC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68B0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B58255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779FD00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5C1A7F5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FE67E8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0625D0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6AA8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6501BAD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5DA930A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ECF898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4DF131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00496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0923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929376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6BC3B8C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1D6469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A4B914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F00AD9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70EE4E21">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577B5F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048483D3">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5F16F1D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5C6D601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43E93DE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488A8BA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27A0936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0E88308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1FBE5FF0">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42B3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C79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24F9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312">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DB0">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75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5F5F">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EB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D5D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7B7C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8C1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F841">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AD2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73D6">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4D9C">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251">
            <w:pPr>
              <w:jc w:val="both"/>
              <w:rPr>
                <w:rFonts w:hint="eastAsia" w:ascii="仿宋" w:hAnsi="仿宋" w:eastAsia="仿宋" w:cs="仿宋"/>
                <w:i w:val="0"/>
                <w:iCs w:val="0"/>
                <w:color w:val="000000"/>
                <w:sz w:val="28"/>
                <w:szCs w:val="28"/>
                <w:u w:val="none"/>
              </w:rPr>
            </w:pPr>
          </w:p>
        </w:tc>
      </w:tr>
      <w:tr w14:paraId="683F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E84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3A6B">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A264">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7C5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AEB">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9C8">
            <w:pPr>
              <w:jc w:val="both"/>
              <w:rPr>
                <w:rFonts w:hint="eastAsia" w:ascii="仿宋" w:hAnsi="仿宋" w:eastAsia="仿宋" w:cs="仿宋"/>
                <w:i w:val="0"/>
                <w:iCs w:val="0"/>
                <w:color w:val="000000"/>
                <w:sz w:val="28"/>
                <w:szCs w:val="28"/>
                <w:u w:val="none"/>
              </w:rPr>
            </w:pPr>
          </w:p>
        </w:tc>
      </w:tr>
      <w:tr w14:paraId="64FB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71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05A2">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325B">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F6F">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286">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CE0E">
            <w:pPr>
              <w:jc w:val="both"/>
              <w:rPr>
                <w:rFonts w:hint="eastAsia" w:ascii="仿宋" w:hAnsi="仿宋" w:eastAsia="仿宋" w:cs="仿宋"/>
                <w:i w:val="0"/>
                <w:iCs w:val="0"/>
                <w:color w:val="000000"/>
                <w:sz w:val="28"/>
                <w:szCs w:val="28"/>
                <w:u w:val="none"/>
              </w:rPr>
            </w:pPr>
          </w:p>
        </w:tc>
      </w:tr>
      <w:tr w14:paraId="2EB5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EE2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CBC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289">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383E">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CD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620">
            <w:pPr>
              <w:jc w:val="both"/>
              <w:rPr>
                <w:rFonts w:hint="eastAsia" w:ascii="仿宋" w:hAnsi="仿宋" w:eastAsia="仿宋" w:cs="仿宋"/>
                <w:i w:val="0"/>
                <w:iCs w:val="0"/>
                <w:color w:val="000000"/>
                <w:sz w:val="28"/>
                <w:szCs w:val="28"/>
                <w:u w:val="none"/>
              </w:rPr>
            </w:pPr>
          </w:p>
        </w:tc>
      </w:tr>
    </w:tbl>
    <w:p w14:paraId="47FE4F6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47D06F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00B2120"/>
    <w:rsid w:val="057E2CCE"/>
    <w:rsid w:val="0855768C"/>
    <w:rsid w:val="0AB45350"/>
    <w:rsid w:val="0DED7F9F"/>
    <w:rsid w:val="13DD0D7A"/>
    <w:rsid w:val="15A11AB1"/>
    <w:rsid w:val="17245B66"/>
    <w:rsid w:val="33F764B9"/>
    <w:rsid w:val="365B1D40"/>
    <w:rsid w:val="39F24186"/>
    <w:rsid w:val="484340B9"/>
    <w:rsid w:val="4E325E43"/>
    <w:rsid w:val="503B1E49"/>
    <w:rsid w:val="53E85624"/>
    <w:rsid w:val="5966279D"/>
    <w:rsid w:val="5BD14B17"/>
    <w:rsid w:val="5CC17BCD"/>
    <w:rsid w:val="5F7B4579"/>
    <w:rsid w:val="60CD067F"/>
    <w:rsid w:val="66DE5110"/>
    <w:rsid w:val="769A6BF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968</Words>
  <Characters>1054</Characters>
  <Lines>0</Lines>
  <Paragraphs>0</Paragraphs>
  <TotalTime>0</TotalTime>
  <ScaleCrop>false</ScaleCrop>
  <LinksUpToDate>false</LinksUpToDate>
  <CharactersWithSpaces>1086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2026-01-05T10:53:07Z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C6A16722872D4B5F97807EF45078EFB7_13</vt:lpwstr>
  </property>
</Properties>
</file>