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《兴业银行西宁分行本部及营业部新址</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装修工程项目管理服务项目》供应商征集反馈材料-公司名称（全称）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5"/>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5"/>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5"/>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5"/>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填写，“审核事项”中的各点，请和征集公告文档中的第一和第二部分要求一一对应。“是否满足”和“基本情况说明”列由供应商填写。）</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1380"/>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rPr>
              <w:t>一、采购需求及资格要求</w:t>
            </w:r>
            <w:r>
              <w:rPr>
                <w:rFonts w:hint="eastAsia" w:ascii="仿宋" w:hAnsi="仿宋" w:eastAsia="仿宋" w:cs="仿宋"/>
                <w:b/>
                <w:bCs/>
                <w:sz w:val="24"/>
                <w:szCs w:val="24"/>
                <w:lang w:val="en-US" w:eastAsia="zh-CN"/>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1.3.1中华人民共和国境内（不含港澳台）合法注册的独立法人，并具有有效的营业执照，成立时间不少于3（含）年</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1.3.2应具有依法缴纳税收的良好记录，财务状况良好</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1.3.3项目管理单位在三年内，需至少有一项同类型、同规模以上的工程项目管理业绩</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2.1依法成立，为存续、在营、开业、在册、登记成立等正常企业状态。</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2.2在兴业银行开立对公账户，若中标本项目，则通过兴业银行对公账户结算该项目相关费用</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2.3充分理解我行服务需求并能够根据需求提供相应的服务。</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2.4具有良好的商业信誉和财务情况</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2.5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2.6经营范围经国家行政管理部门依法批准，同时获得从事行业有效执业证明、行政许可、专业资质等证照</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78"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2.7两年内目标服务领域未出现严重安全事件</w:t>
            </w:r>
          </w:p>
        </w:tc>
        <w:tc>
          <w:tcPr>
            <w:tcW w:w="80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c>
          <w:tcPr>
            <w:tcW w:w="2111"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4"/>
                <w:szCs w:val="24"/>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0"/>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4"/>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4"/>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4"/>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FF0000"/>
          <w:sz w:val="32"/>
          <w:szCs w:val="32"/>
          <w:lang w:val="en-US" w:eastAsia="zh-CN"/>
        </w:rPr>
        <w:t>《近三年同类型、同规模以上的工程项目管理案例</w:t>
      </w:r>
      <w:r>
        <w:rPr>
          <w:rFonts w:hint="eastAsia" w:ascii="仿宋" w:hAnsi="仿宋" w:eastAsia="仿宋" w:cs="仿宋"/>
          <w:b w:val="0"/>
          <w:bCs w:val="0"/>
          <w:sz w:val="32"/>
          <w:szCs w:val="32"/>
        </w:rPr>
        <w:t>》</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7"/>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彩虹粗仿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1306063"/>
    <w:rsid w:val="081E4DE5"/>
    <w:rsid w:val="0C4130AA"/>
    <w:rsid w:val="0DED7F9F"/>
    <w:rsid w:val="10DA162E"/>
    <w:rsid w:val="119A387C"/>
    <w:rsid w:val="13DD0D7A"/>
    <w:rsid w:val="20445EA3"/>
    <w:rsid w:val="365B1D40"/>
    <w:rsid w:val="45184C4A"/>
    <w:rsid w:val="499567F7"/>
    <w:rsid w:val="503B1E49"/>
    <w:rsid w:val="5966279D"/>
    <w:rsid w:val="600218C0"/>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p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Body Text First Indent 2"/>
    <w:basedOn w:val="3"/>
    <w:next w:val="5"/>
    <w:qFormat/>
    <w:uiPriority w:val="0"/>
    <w:pPr>
      <w:tabs>
        <w:tab w:val="left" w:pos="0"/>
        <w:tab w:val="left" w:pos="993"/>
        <w:tab w:val="left" w:pos="1134"/>
      </w:tabs>
      <w:spacing w:line="312" w:lineRule="atLeast"/>
      <w:ind w:firstLine="420"/>
    </w:pPr>
  </w:style>
  <w:style w:type="paragraph" w:customStyle="1" w:styleId="5">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6">
    <w:name w:val="HTML Preformatted"/>
    <w:basedOn w:val="1"/>
    <w:semiHidden/>
    <w:qFormat/>
    <w:uiPriority w:val="0"/>
    <w:pPr>
      <w:topLinePunct w:val="0"/>
    </w:pPr>
    <w:rPr>
      <w:rFonts w:ascii="Courier New" w:hAnsi="Courier New" w:cs="Courier New"/>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首行缩进 21"/>
    <w:basedOn w:val="11"/>
    <w:qFormat/>
    <w:uiPriority w:val="0"/>
    <w:pPr>
      <w:widowControl/>
      <w:ind w:firstLine="420"/>
    </w:pPr>
    <w:rPr>
      <w:szCs w:val="20"/>
    </w:rPr>
  </w:style>
  <w:style w:type="paragraph" w:customStyle="1" w:styleId="11">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231</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张永健</cp:lastModifiedBy>
  <dcterms:modified xsi:type="dcterms:W3CDTF">2025-03-28T06:50:25Z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