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9C3FA">
      <w:pPr>
        <w:jc w:val="center"/>
        <w:rPr>
          <w:rFonts w:ascii="仿宋" w:hAnsi="仿宋"/>
          <w:b/>
          <w:color w:val="000000" w:themeColor="text1"/>
          <w:highlight w:val="none"/>
          <w14:textFill>
            <w14:solidFill>
              <w14:schemeClr w14:val="tx1"/>
            </w14:solidFill>
          </w14:textFill>
        </w:rPr>
      </w:pPr>
      <w:bookmarkStart w:id="571" w:name="_GoBack"/>
      <w:bookmarkEnd w:id="571"/>
    </w:p>
    <w:p w14:paraId="4ABCF76C">
      <w:pPr>
        <w:jc w:val="center"/>
        <w:rPr>
          <w:rFonts w:ascii="仿宋" w:hAnsi="仿宋"/>
          <w:b/>
          <w:color w:val="000000" w:themeColor="text1"/>
          <w:highlight w:val="none"/>
          <w14:textFill>
            <w14:solidFill>
              <w14:schemeClr w14:val="tx1"/>
            </w14:solidFill>
          </w14:textFill>
        </w:rPr>
      </w:pPr>
    </w:p>
    <w:p w14:paraId="3D515AA0">
      <w:pPr>
        <w:snapToGrid w:val="0"/>
        <w:jc w:val="right"/>
        <w:rPr>
          <w:rFonts w:ascii="仿宋" w:hAnsi="仿宋" w:cs="仿宋"/>
          <w:b/>
          <w:color w:val="000000" w:themeColor="text1"/>
          <w:sz w:val="28"/>
          <w:szCs w:val="28"/>
          <w:highlight w:val="none"/>
          <w14:textFill>
            <w14:solidFill>
              <w14:schemeClr w14:val="tx1"/>
            </w14:solidFill>
          </w14:textFill>
        </w:rPr>
      </w:pPr>
    </w:p>
    <w:p w14:paraId="7F462F57">
      <w:pPr>
        <w:snapToGrid w:val="0"/>
        <w:jc w:val="right"/>
        <w:rPr>
          <w:rFonts w:hint="default"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cs="仿宋"/>
          <w:b/>
          <w:color w:val="000000" w:themeColor="text1"/>
          <w:sz w:val="28"/>
          <w:szCs w:val="28"/>
          <w:highlight w:val="none"/>
          <w14:textFill>
            <w14:solidFill>
              <w14:schemeClr w14:val="tx1"/>
            </w14:solidFill>
          </w14:textFill>
        </w:rPr>
        <w:t>招标编号：BOC-00029-20250060</w:t>
      </w:r>
    </w:p>
    <w:p w14:paraId="65C298CC">
      <w:pPr>
        <w:snapToGrid w:val="0"/>
        <w:jc w:val="right"/>
        <w:rPr>
          <w:rFonts w:ascii="仿宋" w:hAnsi="仿宋"/>
          <w:b/>
          <w:color w:val="000000" w:themeColor="text1"/>
          <w:sz w:val="44"/>
          <w:highlight w:val="none"/>
          <w14:textFill>
            <w14:solidFill>
              <w14:schemeClr w14:val="tx1"/>
            </w14:solidFill>
          </w14:textFill>
        </w:rPr>
      </w:pPr>
    </w:p>
    <w:p w14:paraId="3DBCF947">
      <w:pPr>
        <w:snapToGrid w:val="0"/>
        <w:jc w:val="center"/>
        <w:rPr>
          <w:rFonts w:ascii="仿宋" w:hAnsi="仿宋"/>
          <w:b/>
          <w:color w:val="000000" w:themeColor="text1"/>
          <w:sz w:val="52"/>
          <w:highlight w:val="none"/>
          <w14:textFill>
            <w14:solidFill>
              <w14:schemeClr w14:val="tx1"/>
            </w14:solidFill>
          </w14:textFill>
        </w:rPr>
      </w:pPr>
    </w:p>
    <w:p w14:paraId="641F72B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仿宋" w:hAnsi="仿宋" w:cs="仿宋"/>
          <w:b/>
          <w:color w:val="000000" w:themeColor="text1"/>
          <w:sz w:val="44"/>
          <w:szCs w:val="44"/>
          <w:highlight w:val="none"/>
          <w14:textFill>
            <w14:solidFill>
              <w14:schemeClr w14:val="tx1"/>
            </w14:solidFill>
          </w14:textFill>
        </w:rPr>
      </w:pPr>
    </w:p>
    <w:p w14:paraId="23765F6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仿宋" w:hAnsi="仿宋" w:cs="仿宋"/>
          <w:b/>
          <w:color w:val="000000" w:themeColor="text1"/>
          <w:sz w:val="44"/>
          <w:szCs w:val="44"/>
          <w:highlight w:val="none"/>
          <w14:textFill>
            <w14:solidFill>
              <w14:schemeClr w14:val="tx1"/>
            </w14:solidFill>
          </w14:textFill>
        </w:rPr>
      </w:pPr>
      <w:r>
        <w:rPr>
          <w:rFonts w:hint="eastAsia" w:ascii="仿宋" w:hAnsi="仿宋" w:cs="仿宋"/>
          <w:b/>
          <w:color w:val="000000" w:themeColor="text1"/>
          <w:sz w:val="44"/>
          <w:szCs w:val="44"/>
          <w:highlight w:val="none"/>
          <w14:textFill>
            <w14:solidFill>
              <w14:schemeClr w14:val="tx1"/>
            </w14:solidFill>
          </w14:textFill>
        </w:rPr>
        <w:t>中国银行海东分行、格尔木分行家具采购</w:t>
      </w:r>
    </w:p>
    <w:p w14:paraId="11707D2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仿宋" w:hAnsi="仿宋" w:cs="仿宋"/>
          <w:b/>
          <w:color w:val="000000" w:themeColor="text1"/>
          <w:sz w:val="44"/>
          <w:szCs w:val="44"/>
          <w:highlight w:val="none"/>
          <w14:textFill>
            <w14:solidFill>
              <w14:schemeClr w14:val="tx1"/>
            </w14:solidFill>
          </w14:textFill>
        </w:rPr>
      </w:pPr>
      <w:r>
        <w:rPr>
          <w:rFonts w:hint="eastAsia" w:ascii="仿宋" w:hAnsi="仿宋" w:cs="仿宋"/>
          <w:b/>
          <w:color w:val="000000" w:themeColor="text1"/>
          <w:sz w:val="44"/>
          <w:szCs w:val="44"/>
          <w:highlight w:val="none"/>
          <w14:textFill>
            <w14:solidFill>
              <w14:schemeClr w14:val="tx1"/>
            </w14:solidFill>
          </w14:textFill>
        </w:rPr>
        <w:t>项目招标文件</w:t>
      </w:r>
    </w:p>
    <w:p w14:paraId="20A767D5">
      <w:pPr>
        <w:pStyle w:val="118"/>
        <w:rPr>
          <w:rFonts w:ascii="仿宋" w:hAnsi="仿宋"/>
          <w:color w:val="000000" w:themeColor="text1"/>
          <w:highlight w:val="none"/>
          <w14:textFill>
            <w14:solidFill>
              <w14:schemeClr w14:val="tx1"/>
            </w14:solidFill>
          </w14:textFill>
        </w:rPr>
      </w:pPr>
    </w:p>
    <w:p w14:paraId="04EB80B2">
      <w:pPr>
        <w:snapToGrid w:val="0"/>
        <w:jc w:val="center"/>
        <w:rPr>
          <w:rFonts w:ascii="仿宋" w:hAnsi="仿宋"/>
          <w:b/>
          <w:color w:val="000000" w:themeColor="text1"/>
          <w:sz w:val="44"/>
          <w:highlight w:val="none"/>
          <w14:textFill>
            <w14:solidFill>
              <w14:schemeClr w14:val="tx1"/>
            </w14:solidFill>
          </w14:textFill>
        </w:rPr>
      </w:pPr>
    </w:p>
    <w:p w14:paraId="7F56EF0B">
      <w:pPr>
        <w:snapToGrid w:val="0"/>
        <w:jc w:val="center"/>
        <w:rPr>
          <w:rFonts w:ascii="仿宋" w:hAnsi="仿宋"/>
          <w:b/>
          <w:color w:val="000000" w:themeColor="text1"/>
          <w:sz w:val="44"/>
          <w:highlight w:val="none"/>
          <w14:textFill>
            <w14:solidFill>
              <w14:schemeClr w14:val="tx1"/>
            </w14:solidFill>
          </w14:textFill>
        </w:rPr>
      </w:pPr>
    </w:p>
    <w:p w14:paraId="5FDBECFE">
      <w:pPr>
        <w:snapToGrid w:val="0"/>
        <w:jc w:val="center"/>
        <w:rPr>
          <w:rFonts w:ascii="仿宋" w:hAnsi="仿宋"/>
          <w:b/>
          <w:color w:val="000000" w:themeColor="text1"/>
          <w:sz w:val="44"/>
          <w:highlight w:val="none"/>
          <w14:textFill>
            <w14:solidFill>
              <w14:schemeClr w14:val="tx1"/>
            </w14:solidFill>
          </w14:textFill>
        </w:rPr>
      </w:pPr>
    </w:p>
    <w:p w14:paraId="0D5AA324">
      <w:pPr>
        <w:snapToGrid w:val="0"/>
        <w:jc w:val="center"/>
        <w:outlineLvl w:val="0"/>
        <w:rPr>
          <w:rFonts w:ascii="仿宋" w:hAnsi="仿宋"/>
          <w:b/>
          <w:color w:val="000000" w:themeColor="text1"/>
          <w:sz w:val="44"/>
          <w:highlight w:val="none"/>
          <w14:textFill>
            <w14:solidFill>
              <w14:schemeClr w14:val="tx1"/>
            </w14:solidFill>
          </w14:textFill>
        </w:rPr>
      </w:pPr>
    </w:p>
    <w:p w14:paraId="6B482509">
      <w:pPr>
        <w:snapToGrid w:val="0"/>
        <w:jc w:val="center"/>
        <w:outlineLvl w:val="0"/>
        <w:rPr>
          <w:rFonts w:ascii="仿宋" w:hAnsi="仿宋"/>
          <w:b/>
          <w:color w:val="000000" w:themeColor="text1"/>
          <w:sz w:val="44"/>
          <w:highlight w:val="none"/>
          <w14:textFill>
            <w14:solidFill>
              <w14:schemeClr w14:val="tx1"/>
            </w14:solidFill>
          </w14:textFill>
        </w:rPr>
      </w:pPr>
    </w:p>
    <w:p w14:paraId="47D15334">
      <w:pPr>
        <w:snapToGrid w:val="0"/>
        <w:jc w:val="center"/>
        <w:outlineLvl w:val="0"/>
        <w:rPr>
          <w:rFonts w:ascii="仿宋" w:hAnsi="仿宋"/>
          <w:b/>
          <w:color w:val="000000" w:themeColor="text1"/>
          <w:sz w:val="44"/>
          <w:highlight w:val="none"/>
          <w14:textFill>
            <w14:solidFill>
              <w14:schemeClr w14:val="tx1"/>
            </w14:solidFill>
          </w14:textFill>
        </w:rPr>
      </w:pPr>
    </w:p>
    <w:p w14:paraId="19D8ECAA">
      <w:pPr>
        <w:snapToGrid w:val="0"/>
        <w:jc w:val="center"/>
        <w:outlineLvl w:val="0"/>
        <w:rPr>
          <w:rFonts w:ascii="仿宋" w:hAnsi="仿宋"/>
          <w:b/>
          <w:color w:val="000000" w:themeColor="text1"/>
          <w:sz w:val="44"/>
          <w:highlight w:val="none"/>
          <w14:textFill>
            <w14:solidFill>
              <w14:schemeClr w14:val="tx1"/>
            </w14:solidFill>
          </w14:textFill>
        </w:rPr>
      </w:pPr>
    </w:p>
    <w:p w14:paraId="12D9EDCF">
      <w:pPr>
        <w:snapToGrid w:val="0"/>
        <w:outlineLvl w:val="0"/>
        <w:rPr>
          <w:rFonts w:ascii="仿宋" w:hAnsi="仿宋"/>
          <w:b/>
          <w:color w:val="000000" w:themeColor="text1"/>
          <w:sz w:val="44"/>
          <w:highlight w:val="none"/>
          <w14:textFill>
            <w14:solidFill>
              <w14:schemeClr w14:val="tx1"/>
            </w14:solidFill>
          </w14:textFill>
        </w:rPr>
      </w:pPr>
    </w:p>
    <w:p w14:paraId="6F3625DD">
      <w:pPr>
        <w:autoSpaceDE w:val="0"/>
        <w:autoSpaceDN w:val="0"/>
        <w:spacing w:line="360" w:lineRule="auto"/>
        <w:ind w:firstLine="643" w:firstLineChars="200"/>
        <w:jc w:val="both"/>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招标人</w:t>
      </w:r>
      <w:r>
        <w:rPr>
          <w:rFonts w:hint="eastAsia" w:ascii="仿宋" w:hAnsi="仿宋" w:cs="仿宋"/>
          <w:b/>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
          <w:bCs/>
          <w:color w:val="000000" w:themeColor="text1"/>
          <w:sz w:val="32"/>
          <w:szCs w:val="32"/>
          <w:highlight w:val="none"/>
          <w14:textFill>
            <w14:solidFill>
              <w14:schemeClr w14:val="tx1"/>
            </w14:solidFill>
          </w14:textFill>
        </w:rPr>
        <w:t>中国银行股份有限公司青海省分行</w:t>
      </w:r>
    </w:p>
    <w:p w14:paraId="620B9822">
      <w:pPr>
        <w:jc w:val="center"/>
        <w:rPr>
          <w:rFonts w:ascii="仿宋" w:hAnsi="仿宋"/>
          <w:b/>
          <w:color w:val="000000" w:themeColor="text1"/>
          <w:sz w:val="32"/>
          <w:szCs w:val="32"/>
          <w:highlight w:val="none"/>
          <w14:textFill>
            <w14:solidFill>
              <w14:schemeClr w14:val="tx1"/>
            </w14:solidFill>
          </w14:textFill>
        </w:rPr>
      </w:pPr>
      <w:r>
        <w:rPr>
          <w:rFonts w:hint="eastAsia" w:ascii="仿宋" w:hAnsi="仿宋" w:cs="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14:textFill>
            <w14:solidFill>
              <w14:schemeClr w14:val="tx1"/>
            </w14:solidFill>
          </w14:textFill>
        </w:rPr>
        <w:t>招标代理机构</w:t>
      </w:r>
      <w:r>
        <w:rPr>
          <w:rFonts w:hint="eastAsia" w:ascii="仿宋" w:hAnsi="仿宋" w:cs="仿宋"/>
          <w:b/>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
          <w:bCs/>
          <w:color w:val="000000" w:themeColor="text1"/>
          <w:sz w:val="32"/>
          <w:szCs w:val="32"/>
          <w:highlight w:val="none"/>
          <w14:textFill>
            <w14:solidFill>
              <w14:schemeClr w14:val="tx1"/>
            </w14:solidFill>
          </w14:textFill>
        </w:rPr>
        <w:t>青海诚容工程项目管理有限责任公司</w:t>
      </w:r>
    </w:p>
    <w:p w14:paraId="1F46A52D">
      <w:pPr>
        <w:snapToGrid w:val="0"/>
        <w:jc w:val="center"/>
        <w:rPr>
          <w:rFonts w:ascii="仿宋" w:hAnsi="仿宋"/>
          <w:b/>
          <w:color w:val="000000" w:themeColor="text1"/>
          <w:sz w:val="32"/>
          <w:szCs w:val="32"/>
          <w:highlight w:val="none"/>
          <w14:textFill>
            <w14:solidFill>
              <w14:schemeClr w14:val="tx1"/>
            </w14:solidFill>
          </w14:textFill>
        </w:rPr>
      </w:pPr>
      <w:r>
        <w:rPr>
          <w:rFonts w:hint="eastAsia" w:ascii="仿宋" w:hAnsi="仿宋"/>
          <w:b/>
          <w:color w:val="000000" w:themeColor="text1"/>
          <w:sz w:val="32"/>
          <w:szCs w:val="32"/>
          <w:highlight w:val="none"/>
          <w14:textFill>
            <w14:solidFill>
              <w14:schemeClr w14:val="tx1"/>
            </w14:solidFill>
          </w14:textFill>
        </w:rPr>
        <w:t>二零</w:t>
      </w:r>
      <w:r>
        <w:rPr>
          <w:rFonts w:hint="eastAsia" w:ascii="仿宋" w:hAnsi="仿宋"/>
          <w:b/>
          <w:color w:val="000000" w:themeColor="text1"/>
          <w:sz w:val="32"/>
          <w:szCs w:val="32"/>
          <w:highlight w:val="none"/>
          <w:lang w:eastAsia="zh-CN"/>
          <w14:textFill>
            <w14:solidFill>
              <w14:schemeClr w14:val="tx1"/>
            </w14:solidFill>
          </w14:textFill>
        </w:rPr>
        <w:t>二五</w:t>
      </w:r>
      <w:r>
        <w:rPr>
          <w:rFonts w:hint="eastAsia" w:ascii="仿宋" w:hAnsi="仿宋"/>
          <w:b/>
          <w:color w:val="000000" w:themeColor="text1"/>
          <w:sz w:val="32"/>
          <w:szCs w:val="32"/>
          <w:highlight w:val="none"/>
          <w14:textFill>
            <w14:solidFill>
              <w14:schemeClr w14:val="tx1"/>
            </w14:solidFill>
          </w14:textFill>
        </w:rPr>
        <w:t>年</w:t>
      </w:r>
      <w:r>
        <w:rPr>
          <w:rFonts w:hint="eastAsia" w:ascii="仿宋" w:hAnsi="仿宋"/>
          <w:b/>
          <w:color w:val="000000" w:themeColor="text1"/>
          <w:sz w:val="32"/>
          <w:szCs w:val="32"/>
          <w:highlight w:val="none"/>
          <w:lang w:val="en-US" w:eastAsia="zh-CN"/>
          <w14:textFill>
            <w14:solidFill>
              <w14:schemeClr w14:val="tx1"/>
            </w14:solidFill>
          </w14:textFill>
        </w:rPr>
        <w:t>八</w:t>
      </w:r>
      <w:r>
        <w:rPr>
          <w:rFonts w:hint="eastAsia" w:ascii="仿宋" w:hAnsi="仿宋"/>
          <w:b/>
          <w:color w:val="000000" w:themeColor="text1"/>
          <w:sz w:val="32"/>
          <w:szCs w:val="32"/>
          <w:highlight w:val="none"/>
          <w14:textFill>
            <w14:solidFill>
              <w14:schemeClr w14:val="tx1"/>
            </w14:solidFill>
          </w14:textFill>
        </w:rPr>
        <w:t>月</w:t>
      </w:r>
    </w:p>
    <w:p w14:paraId="719A2FCB">
      <w:pPr>
        <w:widowControl/>
        <w:jc w:val="left"/>
        <w:rPr>
          <w:rFonts w:ascii="仿宋" w:hAnsi="仿宋"/>
          <w:b/>
          <w:color w:val="000000" w:themeColor="text1"/>
          <w:sz w:val="28"/>
          <w:szCs w:val="28"/>
          <w:highlight w:val="none"/>
          <w14:textFill>
            <w14:solidFill>
              <w14:schemeClr w14:val="tx1"/>
            </w14:solidFill>
          </w14:textFill>
        </w:rPr>
      </w:pPr>
      <w:r>
        <w:rPr>
          <w:rFonts w:ascii="仿宋" w:hAnsi="仿宋"/>
          <w:b/>
          <w:color w:val="000000" w:themeColor="text1"/>
          <w:sz w:val="28"/>
          <w:szCs w:val="28"/>
          <w:highlight w:val="none"/>
          <w14:textFill>
            <w14:solidFill>
              <w14:schemeClr w14:val="tx1"/>
            </w14:solidFill>
          </w14:textFill>
        </w:rPr>
        <w:br w:type="page"/>
      </w:r>
    </w:p>
    <w:p w14:paraId="15169BBF">
      <w:pPr>
        <w:snapToGrid w:val="0"/>
        <w:jc w:val="right"/>
        <w:rPr>
          <w:rFonts w:ascii="仿宋" w:hAnsi="仿宋" w:cs="仿宋"/>
          <w:b/>
          <w:color w:val="000000" w:themeColor="text1"/>
          <w:sz w:val="28"/>
          <w:szCs w:val="28"/>
          <w:highlight w:val="none"/>
          <w14:textFill>
            <w14:solidFill>
              <w14:schemeClr w14:val="tx1"/>
            </w14:solidFill>
          </w14:textFill>
        </w:rPr>
      </w:pPr>
    </w:p>
    <w:p w14:paraId="2FC30E4F">
      <w:pPr>
        <w:pStyle w:val="119"/>
        <w:jc w:val="center"/>
        <w:rPr>
          <w:rFonts w:ascii="仿宋" w:hAnsi="仿宋" w:eastAsia="仿宋"/>
          <w:b/>
          <w:color w:val="000000" w:themeColor="text1"/>
          <w:highlight w:val="none"/>
          <w14:textFill>
            <w14:solidFill>
              <w14:schemeClr w14:val="tx1"/>
            </w14:solidFill>
          </w14:textFill>
        </w:rPr>
      </w:pPr>
      <w:r>
        <w:rPr>
          <w:rFonts w:ascii="仿宋" w:hAnsi="仿宋" w:eastAsia="仿宋"/>
          <w:b/>
          <w:color w:val="000000" w:themeColor="text1"/>
          <w:highlight w:val="none"/>
          <w:lang w:val="zh-CN"/>
          <w14:textFill>
            <w14:solidFill>
              <w14:schemeClr w14:val="tx1"/>
            </w14:solidFill>
          </w14:textFill>
        </w:rPr>
        <w:t>目录</w:t>
      </w:r>
    </w:p>
    <w:p w14:paraId="10EB905F">
      <w:pPr>
        <w:pStyle w:val="21"/>
        <w:tabs>
          <w:tab w:val="right" w:leader="dot" w:pos="8296"/>
        </w:tabs>
        <w:rPr>
          <w:rFonts w:ascii="仿宋" w:hAnsi="仿宋" w:cs="仿宋"/>
          <w:caps/>
          <w:color w:val="000000" w:themeColor="text1"/>
          <w:sz w:val="22"/>
          <w:szCs w:val="22"/>
          <w:highlight w:val="none"/>
          <w:u w:val="single"/>
          <w14:textFill>
            <w14:solidFill>
              <w14:schemeClr w14:val="tx1"/>
            </w14:solidFill>
          </w14:textFill>
        </w:rPr>
      </w:pPr>
    </w:p>
    <w:p w14:paraId="776940B8">
      <w:pPr>
        <w:pStyle w:val="21"/>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r>
        <w:rPr>
          <w:rFonts w:hint="eastAsia" w:ascii="仿宋" w:hAnsi="仿宋" w:cs="仿宋"/>
          <w:b/>
          <w:caps/>
          <w:color w:val="000000" w:themeColor="text1"/>
          <w:sz w:val="22"/>
          <w:szCs w:val="22"/>
          <w:highlight w:val="none"/>
          <w:u w:val="single"/>
          <w14:textFill>
            <w14:solidFill>
              <w14:schemeClr w14:val="tx1"/>
            </w14:solidFill>
          </w14:textFill>
        </w:rPr>
        <w:fldChar w:fldCharType="begin"/>
      </w:r>
      <w:r>
        <w:rPr>
          <w:rFonts w:hint="eastAsia" w:ascii="仿宋" w:hAnsi="仿宋" w:cs="仿宋"/>
          <w:b/>
          <w:bCs/>
          <w:caps/>
          <w:color w:val="000000" w:themeColor="text1"/>
          <w:sz w:val="22"/>
          <w:szCs w:val="22"/>
          <w:highlight w:val="none"/>
          <w:u w:val="single"/>
          <w14:textFill>
            <w14:solidFill>
              <w14:schemeClr w14:val="tx1"/>
            </w14:solidFill>
          </w14:textFill>
        </w:rPr>
        <w:instrText xml:space="preserve">TOC \o "1-3" \h \z \u</w:instrText>
      </w:r>
      <w:r>
        <w:rPr>
          <w:rFonts w:hint="eastAsia" w:ascii="仿宋" w:hAnsi="仿宋" w:cs="仿宋"/>
          <w:b/>
          <w:caps/>
          <w:color w:val="000000" w:themeColor="text1"/>
          <w:sz w:val="22"/>
          <w:szCs w:val="22"/>
          <w:highlight w:val="none"/>
          <w:u w:val="single"/>
          <w14:textFill>
            <w14:solidFill>
              <w14:schemeClr w14:val="tx1"/>
            </w14:solidFill>
          </w14:textFill>
        </w:rPr>
        <w:fldChar w:fldCharType="separate"/>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begin"/>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instrText xml:space="preserve"> HYPERLINK \l _Toc31824 </w:instrText>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Cs w:val="24"/>
          <w:highlight w:val="none"/>
          <w:lang w:val="en-US" w:eastAsia="zh-CN" w:bidi="ar-SA"/>
          <w14:textFill>
            <w14:solidFill>
              <w14:schemeClr w14:val="tx1"/>
            </w14:solidFill>
          </w14:textFill>
        </w:rPr>
        <w:t>第一部分 招标公告</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ab/>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begin"/>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instrText xml:space="preserve"> PAGEREF _Toc31824 </w:instrTex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separate"/>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3</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end"/>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end"/>
      </w:r>
    </w:p>
    <w:p w14:paraId="12719C25">
      <w:pPr>
        <w:pStyle w:val="25"/>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p>
    <w:p w14:paraId="02F2CA48">
      <w:pPr>
        <w:pStyle w:val="21"/>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begin"/>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instrText xml:space="preserve"> HYPERLINK \l _Toc28816 </w:instrText>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Cs w:val="24"/>
          <w:highlight w:val="none"/>
          <w:lang w:val="en-US" w:eastAsia="zh-CN" w:bidi="ar-SA"/>
          <w14:textFill>
            <w14:solidFill>
              <w14:schemeClr w14:val="tx1"/>
            </w14:solidFill>
          </w14:textFill>
        </w:rPr>
        <w:t>第二部分 投标人须知前附表及投标人须知</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ab/>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begin"/>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instrText xml:space="preserve"> PAGEREF _Toc28816 </w:instrTex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separate"/>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12</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end"/>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end"/>
      </w:r>
    </w:p>
    <w:p w14:paraId="33F15BC1">
      <w:pPr>
        <w:pStyle w:val="14"/>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p>
    <w:p w14:paraId="79CDC123">
      <w:pPr>
        <w:pStyle w:val="21"/>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begin"/>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instrText xml:space="preserve"> HYPERLINK \l _Toc2434 </w:instrText>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Cs w:val="24"/>
          <w:highlight w:val="none"/>
          <w:lang w:val="en-US" w:eastAsia="zh-CN" w:bidi="ar-SA"/>
          <w14:textFill>
            <w14:solidFill>
              <w14:schemeClr w14:val="tx1"/>
            </w14:solidFill>
          </w14:textFill>
        </w:rPr>
        <w:t>第三部分 评标办法</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ab/>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begin"/>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instrText xml:space="preserve"> PAGEREF _Toc2434 </w:instrTex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separate"/>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31</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end"/>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end"/>
      </w:r>
    </w:p>
    <w:p w14:paraId="2BFF58A5">
      <w:pPr>
        <w:pStyle w:val="25"/>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p>
    <w:p w14:paraId="43914D12">
      <w:pPr>
        <w:pStyle w:val="21"/>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begin"/>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instrText xml:space="preserve"> HYPERLINK \l _Toc21449 </w:instrText>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Cs w:val="24"/>
          <w:highlight w:val="none"/>
          <w:lang w:val="en-US" w:eastAsia="zh-CN" w:bidi="ar-SA"/>
          <w14:textFill>
            <w14:solidFill>
              <w14:schemeClr w14:val="tx1"/>
            </w14:solidFill>
          </w14:textFill>
        </w:rPr>
        <w:t>第四部分 合同主要条款及格式</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ab/>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begin"/>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instrText xml:space="preserve"> PAGEREF _Toc21449 </w:instrTex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separate"/>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35</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end"/>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end"/>
      </w:r>
    </w:p>
    <w:p w14:paraId="3D1B0DF4">
      <w:pPr>
        <w:pStyle w:val="21"/>
        <w:tabs>
          <w:tab w:val="right" w:leader="dot" w:pos="8306"/>
        </w:tabs>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pPr>
    </w:p>
    <w:p w14:paraId="1047C360">
      <w:pPr>
        <w:pStyle w:val="21"/>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begin"/>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instrText xml:space="preserve"> HYPERLINK \l _Toc3477 </w:instrText>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separate"/>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第</w:t>
      </w:r>
      <w:r>
        <w:rPr>
          <w:rFonts w:hint="eastAsia" w:ascii="仿宋" w:hAnsi="仿宋" w:eastAsia="仿宋" w:cs="仿宋"/>
          <w:bCs/>
          <w:color w:val="000000" w:themeColor="text1"/>
          <w:kern w:val="44"/>
          <w:szCs w:val="24"/>
          <w:highlight w:val="none"/>
          <w:lang w:val="en-US" w:eastAsia="zh-CN" w:bidi="ar-SA"/>
          <w14:textFill>
            <w14:solidFill>
              <w14:schemeClr w14:val="tx1"/>
            </w14:solidFill>
          </w14:textFill>
        </w:rPr>
        <w:t xml:space="preserve">五部分 </w:t>
      </w:r>
      <w:r>
        <w:rPr>
          <w:rFonts w:hint="eastAsia" w:ascii="仿宋" w:hAnsi="仿宋" w:eastAsia="仿宋" w:cs="仿宋"/>
          <w:color w:val="000000" w:themeColor="text1"/>
          <w:kern w:val="2"/>
          <w:szCs w:val="24"/>
          <w:highlight w:val="none"/>
          <w:lang w:val="en-US" w:eastAsia="zh-CN" w:bidi="ar-SA"/>
          <w14:textFill>
            <w14:solidFill>
              <w14:schemeClr w14:val="tx1"/>
            </w14:solidFill>
          </w14:textFill>
        </w:rPr>
        <w:t>采购需求书</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ab/>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begin"/>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instrText xml:space="preserve"> PAGEREF _Toc3477 </w:instrTex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separate"/>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48</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end"/>
      </w:r>
      <w:r>
        <w:rPr>
          <w:rFonts w:hint="eastAsia" w:ascii="仿宋" w:hAnsi="仿宋" w:eastAsia="仿宋" w:cs="仿宋"/>
          <w:bCs/>
          <w:color w:val="000000" w:themeColor="text1"/>
          <w:kern w:val="44"/>
          <w:szCs w:val="24"/>
          <w:highlight w:val="none"/>
          <w:lang w:val="en-US" w:eastAsia="zh-CN" w:bidi="ar-SA"/>
          <w14:textFill>
            <w14:solidFill>
              <w14:schemeClr w14:val="tx1"/>
            </w14:solidFill>
          </w14:textFill>
        </w:rPr>
        <w:fldChar w:fldCharType="end"/>
      </w:r>
    </w:p>
    <w:p w14:paraId="04408D2B">
      <w:pPr>
        <w:pStyle w:val="21"/>
        <w:tabs>
          <w:tab w:val="right" w:leader="dot" w:pos="8306"/>
        </w:tabs>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pPr>
    </w:p>
    <w:p w14:paraId="5161020B">
      <w:pPr>
        <w:pStyle w:val="21"/>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begin"/>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instrText xml:space="preserve"> HYPERLINK \l _Toc30359 </w:instrText>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Cs w:val="24"/>
          <w:highlight w:val="none"/>
          <w:lang w:val="en-US" w:eastAsia="zh-CN" w:bidi="ar-SA"/>
          <w14:textFill>
            <w14:solidFill>
              <w14:schemeClr w14:val="tx1"/>
            </w14:solidFill>
          </w14:textFill>
        </w:rPr>
        <w:t>第六部分 附  件</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ab/>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begin"/>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instrText xml:space="preserve"> PAGEREF _Toc30359 </w:instrTex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separate"/>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t>71</w:t>
      </w:r>
      <w:r>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fldChar w:fldCharType="end"/>
      </w:r>
      <w:r>
        <w:rPr>
          <w:rFonts w:hint="eastAsia" w:ascii="仿宋" w:hAnsi="仿宋" w:eastAsia="仿宋" w:cs="仿宋"/>
          <w:bCs/>
          <w:color w:val="000000" w:themeColor="text1"/>
          <w:kern w:val="2"/>
          <w:szCs w:val="22"/>
          <w:highlight w:val="none"/>
          <w:lang w:val="en-US" w:eastAsia="zh-CN" w:bidi="ar-SA"/>
          <w14:textFill>
            <w14:solidFill>
              <w14:schemeClr w14:val="tx1"/>
            </w14:solidFill>
          </w14:textFill>
        </w:rPr>
        <w:fldChar w:fldCharType="end"/>
      </w:r>
    </w:p>
    <w:p w14:paraId="5C2BB4E3">
      <w:pPr>
        <w:pStyle w:val="14"/>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p>
    <w:p w14:paraId="7CBE146B">
      <w:pPr>
        <w:pStyle w:val="14"/>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p>
    <w:p w14:paraId="052563D1">
      <w:pPr>
        <w:pStyle w:val="25"/>
        <w:tabs>
          <w:tab w:val="right" w:leader="dot" w:pos="8306"/>
        </w:tabs>
        <w:rPr>
          <w:rFonts w:ascii="Times New Roman" w:hAnsi="Times New Roman" w:eastAsia="仿宋" w:cs="Times New Roman"/>
          <w:color w:val="000000" w:themeColor="text1"/>
          <w:kern w:val="2"/>
          <w:szCs w:val="32"/>
          <w:highlight w:val="none"/>
          <w:lang w:val="en-US" w:eastAsia="zh-CN" w:bidi="ar-SA"/>
          <w14:textFill>
            <w14:solidFill>
              <w14:schemeClr w14:val="tx1"/>
            </w14:solidFill>
          </w14:textFill>
        </w:rPr>
      </w:pPr>
    </w:p>
    <w:p w14:paraId="1B535962">
      <w:pPr>
        <w:pStyle w:val="32"/>
        <w:spacing w:line="600" w:lineRule="auto"/>
        <w:ind w:left="480" w:firstLine="442"/>
        <w:rPr>
          <w:rFonts w:ascii="仿宋" w:hAnsi="仿宋" w:cs="仿宋"/>
          <w:color w:val="000000" w:themeColor="text1"/>
          <w:highlight w:val="none"/>
          <w14:textFill>
            <w14:solidFill>
              <w14:schemeClr w14:val="tx1"/>
            </w14:solidFill>
          </w14:textFill>
        </w:rPr>
      </w:pPr>
      <w:r>
        <w:rPr>
          <w:rFonts w:hint="eastAsia" w:ascii="仿宋" w:hAnsi="仿宋" w:cs="仿宋"/>
          <w:b/>
          <w:bCs/>
          <w:color w:val="000000" w:themeColor="text1"/>
          <w:sz w:val="22"/>
          <w:szCs w:val="22"/>
          <w:highlight w:val="none"/>
          <w14:textFill>
            <w14:solidFill>
              <w14:schemeClr w14:val="tx1"/>
            </w14:solidFill>
          </w14:textFill>
        </w:rPr>
        <w:fldChar w:fldCharType="end"/>
      </w:r>
    </w:p>
    <w:p w14:paraId="1D2B4569">
      <w:pPr>
        <w:widowControl/>
        <w:spacing w:line="360" w:lineRule="auto"/>
        <w:rPr>
          <w:rFonts w:ascii="仿宋" w:hAnsi="仿宋" w:cs="仿宋"/>
          <w:b/>
          <w:bCs/>
          <w:color w:val="000000" w:themeColor="text1"/>
          <w:sz w:val="30"/>
          <w:szCs w:val="30"/>
          <w:highlight w:val="none"/>
          <w14:textFill>
            <w14:solidFill>
              <w14:schemeClr w14:val="tx1"/>
            </w14:solidFill>
          </w14:textFill>
        </w:rPr>
      </w:pPr>
    </w:p>
    <w:p w14:paraId="5A929ADC">
      <w:pPr>
        <w:widowControl/>
        <w:spacing w:line="360" w:lineRule="auto"/>
        <w:rPr>
          <w:rFonts w:ascii="仿宋" w:hAnsi="仿宋" w:cs="仿宋"/>
          <w:b/>
          <w:color w:val="000000" w:themeColor="text1"/>
          <w:sz w:val="30"/>
          <w:szCs w:val="30"/>
          <w:highlight w:val="none"/>
          <w14:textFill>
            <w14:solidFill>
              <w14:schemeClr w14:val="tx1"/>
            </w14:solidFill>
          </w14:textFill>
        </w:rPr>
      </w:pPr>
    </w:p>
    <w:p w14:paraId="5D8FBD6F">
      <w:pPr>
        <w:widowControl/>
        <w:spacing w:line="360" w:lineRule="auto"/>
        <w:rPr>
          <w:rFonts w:ascii="仿宋" w:hAnsi="仿宋" w:cs="仿宋"/>
          <w:color w:val="000000" w:themeColor="text1"/>
          <w:highlight w:val="none"/>
          <w14:textFill>
            <w14:solidFill>
              <w14:schemeClr w14:val="tx1"/>
            </w14:solidFill>
          </w14:textFill>
        </w:rPr>
      </w:pPr>
    </w:p>
    <w:p w14:paraId="2FCCCA20">
      <w:pPr>
        <w:rPr>
          <w:rFonts w:ascii="仿宋" w:hAnsi="仿宋" w:cs="仿宋"/>
          <w:b/>
          <w:bCs/>
          <w:color w:val="000000" w:themeColor="text1"/>
          <w:sz w:val="44"/>
          <w:szCs w:val="44"/>
          <w:highlight w:val="none"/>
          <w14:textFill>
            <w14:solidFill>
              <w14:schemeClr w14:val="tx1"/>
            </w14:solidFill>
          </w14:textFill>
        </w:rPr>
      </w:pPr>
      <w:r>
        <w:rPr>
          <w:rFonts w:hint="eastAsia" w:ascii="仿宋" w:hAnsi="仿宋" w:cs="仿宋"/>
          <w:b/>
          <w:bCs/>
          <w:color w:val="000000" w:themeColor="text1"/>
          <w:sz w:val="44"/>
          <w:szCs w:val="44"/>
          <w:highlight w:val="none"/>
          <w14:textFill>
            <w14:solidFill>
              <w14:schemeClr w14:val="tx1"/>
            </w14:solidFill>
          </w14:textFill>
        </w:rPr>
        <w:br w:type="page"/>
      </w:r>
    </w:p>
    <w:p w14:paraId="1BD52E3B">
      <w:pPr>
        <w:pStyle w:val="3"/>
        <w:spacing w:line="578" w:lineRule="auto"/>
        <w:jc w:val="center"/>
        <w:rPr>
          <w:rFonts w:ascii="仿宋" w:hAnsi="仿宋" w:cs="仿宋"/>
          <w:color w:val="000000" w:themeColor="text1"/>
          <w:sz w:val="24"/>
          <w:szCs w:val="24"/>
          <w:highlight w:val="none"/>
          <w14:textFill>
            <w14:solidFill>
              <w14:schemeClr w14:val="tx1"/>
            </w14:solidFill>
          </w14:textFill>
        </w:rPr>
      </w:pPr>
      <w:bookmarkStart w:id="0" w:name="_Toc31038"/>
      <w:bookmarkStart w:id="1" w:name="_Toc2039"/>
      <w:bookmarkStart w:id="2" w:name="_Toc17468"/>
      <w:bookmarkStart w:id="3" w:name="_Toc150933560"/>
      <w:bookmarkStart w:id="4" w:name="_Toc3669"/>
      <w:bookmarkStart w:id="5" w:name="_Toc149230384"/>
      <w:bookmarkStart w:id="6" w:name="_Toc22983"/>
      <w:bookmarkStart w:id="7" w:name="_Toc32692"/>
      <w:bookmarkStart w:id="8" w:name="_Toc31284"/>
      <w:bookmarkStart w:id="9" w:name="_Toc31824"/>
      <w:bookmarkStart w:id="10" w:name="_Toc22732"/>
      <w:bookmarkStart w:id="11" w:name="_Toc15657"/>
      <w:bookmarkStart w:id="12" w:name="_Toc23326"/>
      <w:bookmarkStart w:id="13" w:name="_Toc8584"/>
      <w:r>
        <w:rPr>
          <w:rFonts w:hint="eastAsia" w:ascii="仿宋" w:hAnsi="仿宋" w:cs="仿宋"/>
          <w:color w:val="000000" w:themeColor="text1"/>
          <w:sz w:val="24"/>
          <w:szCs w:val="24"/>
          <w:highlight w:val="none"/>
          <w14:textFill>
            <w14:solidFill>
              <w14:schemeClr w14:val="tx1"/>
            </w14:solidFill>
          </w14:textFill>
        </w:rPr>
        <w:t>第一部分 招标公告</w:t>
      </w:r>
      <w:bookmarkEnd w:id="0"/>
      <w:bookmarkEnd w:id="1"/>
      <w:bookmarkEnd w:id="2"/>
      <w:bookmarkEnd w:id="3"/>
      <w:bookmarkEnd w:id="4"/>
      <w:bookmarkEnd w:id="5"/>
      <w:bookmarkEnd w:id="6"/>
      <w:bookmarkEnd w:id="7"/>
      <w:bookmarkEnd w:id="8"/>
      <w:bookmarkEnd w:id="9"/>
      <w:bookmarkEnd w:id="10"/>
      <w:bookmarkEnd w:id="11"/>
      <w:bookmarkEnd w:id="12"/>
      <w:bookmarkEnd w:id="13"/>
    </w:p>
    <w:p w14:paraId="0731897F">
      <w:pPr>
        <w:ind w:firstLine="480" w:firstLineChars="200"/>
        <w:rPr>
          <w:rFonts w:ascii="仿宋" w:hAnsi="仿宋" w:cs="仿宋"/>
          <w:color w:val="000000" w:themeColor="text1"/>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青海诚容工程项目管理有限责任</w:t>
      </w:r>
      <w:r>
        <w:rPr>
          <w:rFonts w:hint="eastAsia" w:ascii="仿宋" w:hAnsi="仿宋" w:cs="仿宋"/>
          <w:color w:val="000000" w:themeColor="text1"/>
          <w:highlight w:val="none"/>
          <w14:textFill>
            <w14:solidFill>
              <w14:schemeClr w14:val="tx1"/>
            </w14:solidFill>
          </w14:textFill>
        </w:rPr>
        <w:t>公司（招标代理机构）受中国银行股份有限公司青海省分行（招标人）委托，就</w:t>
      </w:r>
      <w:r>
        <w:rPr>
          <w:rFonts w:hint="eastAsia" w:ascii="仿宋" w:hAnsi="仿宋" w:cs="仿宋"/>
          <w:color w:val="000000" w:themeColor="text1"/>
          <w:highlight w:val="none"/>
          <w:lang w:val="en-US" w:eastAsia="zh-CN"/>
          <w14:textFill>
            <w14:solidFill>
              <w14:schemeClr w14:val="tx1"/>
            </w14:solidFill>
          </w14:textFill>
        </w:rPr>
        <w:t>中国银行海东分行、格尔木分行家具采购项目</w:t>
      </w:r>
      <w:r>
        <w:rPr>
          <w:rFonts w:hint="eastAsia" w:ascii="仿宋" w:hAnsi="仿宋" w:cs="仿宋"/>
          <w:color w:val="000000" w:themeColor="text1"/>
          <w:highlight w:val="none"/>
          <w14:textFill>
            <w14:solidFill>
              <w14:schemeClr w14:val="tx1"/>
            </w14:solidFill>
          </w14:textFill>
        </w:rPr>
        <w:t>进行公开招标。</w:t>
      </w:r>
    </w:p>
    <w:p w14:paraId="0F5AD286">
      <w:pPr>
        <w:spacing w:line="360" w:lineRule="auto"/>
        <w:ind w:left="-2"/>
        <w:rPr>
          <w:rFonts w:ascii="仿宋" w:hAnsi="仿宋" w:cs="仿宋"/>
          <w:color w:val="000000" w:themeColor="text1"/>
          <w:highlight w:val="none"/>
          <w14:textFill>
            <w14:solidFill>
              <w14:schemeClr w14:val="tx1"/>
            </w14:solidFill>
          </w14:textFill>
        </w:rPr>
      </w:pPr>
    </w:p>
    <w:p w14:paraId="6C3E534A">
      <w:pPr>
        <w:numPr>
          <w:ilvl w:val="0"/>
          <w:numId w:val="3"/>
        </w:numPr>
        <w:spacing w:line="360" w:lineRule="auto"/>
        <w:outlineLvl w:val="1"/>
        <w:rPr>
          <w:rFonts w:ascii="仿宋" w:hAnsi="仿宋" w:cs="仿宋"/>
          <w:b/>
          <w:bCs/>
          <w:color w:val="000000" w:themeColor="text1"/>
          <w:highlight w:val="none"/>
          <w14:textFill>
            <w14:solidFill>
              <w14:schemeClr w14:val="tx1"/>
            </w14:solidFill>
          </w14:textFill>
        </w:rPr>
      </w:pPr>
      <w:bookmarkStart w:id="14" w:name="_Toc108796132"/>
      <w:bookmarkStart w:id="15" w:name="_Toc31764"/>
      <w:bookmarkStart w:id="16" w:name="_Toc24473"/>
      <w:bookmarkStart w:id="17" w:name="_Toc149230385"/>
      <w:bookmarkStart w:id="18" w:name="_Toc150933561"/>
      <w:bookmarkStart w:id="19" w:name="_Toc11694"/>
      <w:r>
        <w:rPr>
          <w:rFonts w:hint="eastAsia" w:ascii="仿宋" w:hAnsi="仿宋" w:cs="仿宋"/>
          <w:b/>
          <w:bCs/>
          <w:color w:val="000000" w:themeColor="text1"/>
          <w:highlight w:val="none"/>
          <w14:textFill>
            <w14:solidFill>
              <w14:schemeClr w14:val="tx1"/>
            </w14:solidFill>
          </w14:textFill>
        </w:rPr>
        <w:t>项目名称：</w:t>
      </w:r>
      <w:bookmarkEnd w:id="14"/>
      <w:bookmarkEnd w:id="15"/>
      <w:bookmarkEnd w:id="16"/>
      <w:bookmarkEnd w:id="17"/>
      <w:bookmarkEnd w:id="18"/>
      <w:bookmarkEnd w:id="19"/>
    </w:p>
    <w:p w14:paraId="7E064DB0">
      <w:pPr>
        <w:spacing w:line="360" w:lineRule="auto"/>
        <w:ind w:left="-2" w:leftChars="-1" w:firstLine="480" w:firstLineChars="2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中国银行海东分行、格尔木分行家具采购项目</w:t>
      </w:r>
    </w:p>
    <w:p w14:paraId="79721FCA">
      <w:pPr>
        <w:numPr>
          <w:ilvl w:val="0"/>
          <w:numId w:val="3"/>
        </w:numPr>
        <w:spacing w:line="360" w:lineRule="auto"/>
        <w:outlineLvl w:val="1"/>
        <w:rPr>
          <w:rFonts w:ascii="仿宋" w:hAnsi="仿宋" w:cs="仿宋"/>
          <w:b/>
          <w:bCs/>
          <w:color w:val="000000" w:themeColor="text1"/>
          <w:highlight w:val="none"/>
          <w14:textFill>
            <w14:solidFill>
              <w14:schemeClr w14:val="tx1"/>
            </w14:solidFill>
          </w14:textFill>
        </w:rPr>
      </w:pPr>
      <w:bookmarkStart w:id="20" w:name="_Toc10814"/>
      <w:r>
        <w:rPr>
          <w:rFonts w:hint="eastAsia" w:ascii="仿宋" w:hAnsi="仿宋" w:cs="仿宋"/>
          <w:b/>
          <w:bCs/>
          <w:color w:val="000000" w:themeColor="text1"/>
          <w:highlight w:val="none"/>
          <w14:textFill>
            <w14:solidFill>
              <w14:schemeClr w14:val="tx1"/>
            </w14:solidFill>
          </w14:textFill>
        </w:rPr>
        <w:t>招标编号：</w:t>
      </w:r>
      <w:bookmarkEnd w:id="20"/>
      <w:bookmarkStart w:id="21" w:name="_Toc15873"/>
      <w:bookmarkStart w:id="22" w:name="_Toc13130"/>
      <w:bookmarkStart w:id="23" w:name="_Toc149230386"/>
      <w:bookmarkStart w:id="24" w:name="_Toc108796133"/>
      <w:bookmarkStart w:id="25" w:name="_Toc150933562"/>
    </w:p>
    <w:p w14:paraId="386B98F1">
      <w:pPr>
        <w:pStyle w:val="32"/>
        <w:spacing w:line="360" w:lineRule="auto"/>
        <w:ind w:left="0" w:leftChars="0" w:firstLine="480"/>
        <w:rPr>
          <w:rFonts w:hint="eastAsia" w:ascii="仿宋" w:hAnsi="仿宋" w:eastAsia="仿宋" w:cs="仿宋"/>
          <w:color w:val="000000" w:themeColor="text1"/>
          <w:kern w:val="2"/>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1"/>
          <w:highlight w:val="none"/>
          <w:lang w:val="en-US" w:eastAsia="zh-CN" w:bidi="ar-SA"/>
          <w14:textFill>
            <w14:solidFill>
              <w14:schemeClr w14:val="tx1"/>
            </w14:solidFill>
          </w14:textFill>
        </w:rPr>
        <w:t>BOC-00029-20250060</w:t>
      </w:r>
    </w:p>
    <w:p w14:paraId="27044E61">
      <w:pPr>
        <w:numPr>
          <w:ilvl w:val="0"/>
          <w:numId w:val="3"/>
        </w:numPr>
        <w:spacing w:line="360" w:lineRule="auto"/>
        <w:outlineLvl w:val="1"/>
        <w:rPr>
          <w:rFonts w:ascii="仿宋" w:hAnsi="仿宋" w:cs="仿宋"/>
          <w:b/>
          <w:bCs/>
          <w:color w:val="000000" w:themeColor="text1"/>
          <w:highlight w:val="none"/>
          <w14:textFill>
            <w14:solidFill>
              <w14:schemeClr w14:val="tx1"/>
            </w14:solidFill>
          </w14:textFill>
        </w:rPr>
      </w:pPr>
      <w:bookmarkStart w:id="26" w:name="_Toc14466"/>
      <w:r>
        <w:rPr>
          <w:rFonts w:hint="eastAsia" w:ascii="仿宋" w:hAnsi="仿宋" w:cs="仿宋"/>
          <w:b/>
          <w:bCs/>
          <w:color w:val="000000" w:themeColor="text1"/>
          <w:highlight w:val="none"/>
          <w14:textFill>
            <w14:solidFill>
              <w14:schemeClr w14:val="tx1"/>
            </w14:solidFill>
          </w14:textFill>
        </w:rPr>
        <w:t>项目情况：</w:t>
      </w:r>
      <w:bookmarkEnd w:id="21"/>
      <w:bookmarkEnd w:id="22"/>
      <w:bookmarkEnd w:id="23"/>
      <w:bookmarkEnd w:id="24"/>
      <w:bookmarkEnd w:id="25"/>
      <w:bookmarkEnd w:id="26"/>
      <w:bookmarkStart w:id="27" w:name="_Toc108796134"/>
      <w:bookmarkStart w:id="28" w:name="_Toc150933563"/>
      <w:bookmarkStart w:id="29" w:name="_Toc31246"/>
      <w:bookmarkStart w:id="30" w:name="_Toc149230387"/>
      <w:bookmarkStart w:id="31" w:name="_Toc31550"/>
    </w:p>
    <w:p w14:paraId="2D26B27B">
      <w:pPr>
        <w:numPr>
          <w:ilvl w:val="0"/>
          <w:numId w:val="4"/>
        </w:numPr>
        <w:spacing w:line="360" w:lineRule="auto"/>
        <w:rPr>
          <w:rFonts w:ascii="仿宋" w:hAnsi="仿宋"/>
          <w:b/>
          <w:bCs/>
          <w:color w:val="000000" w:themeColor="text1"/>
          <w:highlight w:val="none"/>
          <w14:textFill>
            <w14:solidFill>
              <w14:schemeClr w14:val="tx1"/>
            </w14:solidFill>
          </w14:textFill>
        </w:rPr>
      </w:pPr>
      <w:r>
        <w:rPr>
          <w:rFonts w:hint="eastAsia" w:ascii="仿宋" w:hAnsi="仿宋"/>
          <w:b/>
          <w:bCs/>
          <w:color w:val="000000" w:themeColor="text1"/>
          <w:highlight w:val="none"/>
          <w14:textFill>
            <w14:solidFill>
              <w14:schemeClr w14:val="tx1"/>
            </w14:solidFill>
          </w14:textFill>
        </w:rPr>
        <w:t>采购</w:t>
      </w:r>
      <w:r>
        <w:rPr>
          <w:rFonts w:ascii="仿宋" w:hAnsi="仿宋"/>
          <w:b/>
          <w:bCs/>
          <w:color w:val="000000" w:themeColor="text1"/>
          <w:highlight w:val="none"/>
          <w14:textFill>
            <w14:solidFill>
              <w14:schemeClr w14:val="tx1"/>
            </w14:solidFill>
          </w14:textFill>
        </w:rPr>
        <w:t>内容：</w:t>
      </w:r>
    </w:p>
    <w:p w14:paraId="18DA4600">
      <w:pPr>
        <w:tabs>
          <w:tab w:val="left" w:pos="8160"/>
        </w:tabs>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采购一家</w:t>
      </w:r>
      <w:r>
        <w:rPr>
          <w:rFonts w:hint="eastAsia" w:ascii="仿宋" w:hAnsi="仿宋" w:cs="仿宋"/>
          <w:color w:val="000000" w:themeColor="text1"/>
          <w:sz w:val="24"/>
          <w:szCs w:val="24"/>
          <w:highlight w:val="none"/>
          <w:lang w:val="en-US" w:eastAsia="zh-CN"/>
          <w14:textFill>
            <w14:solidFill>
              <w14:schemeClr w14:val="tx1"/>
            </w14:solidFill>
          </w14:textFill>
        </w:rPr>
        <w:t>家具供货</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cs="仿宋"/>
          <w:color w:val="000000" w:themeColor="text1"/>
          <w:sz w:val="24"/>
          <w:szCs w:val="24"/>
          <w:highlight w:val="none"/>
          <w:lang w:val="en-US" w:eastAsia="zh-CN"/>
          <w14:textFill>
            <w14:solidFill>
              <w14:schemeClr w14:val="tx1"/>
            </w14:solidFill>
          </w14:textFill>
        </w:rPr>
        <w:t>为中国银行海东分行、格尔木分行提供办公及宿舍家具</w:t>
      </w:r>
      <w:r>
        <w:rPr>
          <w:rFonts w:hint="eastAsia" w:ascii="仿宋" w:hAnsi="仿宋" w:eastAsia="仿宋" w:cs="仿宋"/>
          <w:color w:val="000000" w:themeColor="text1"/>
          <w:sz w:val="24"/>
          <w:szCs w:val="24"/>
          <w:highlight w:val="none"/>
          <w:lang w:val="en-US" w:eastAsia="zh-CN"/>
          <w14:textFill>
            <w14:solidFill>
              <w14:schemeClr w14:val="tx1"/>
            </w14:solidFill>
          </w14:textFill>
        </w:rPr>
        <w:t>，并进行</w:t>
      </w:r>
      <w:r>
        <w:rPr>
          <w:rFonts w:hint="eastAsia" w:ascii="仿宋" w:hAnsi="仿宋" w:cs="仿宋"/>
          <w:color w:val="000000" w:themeColor="text1"/>
          <w:sz w:val="24"/>
          <w:szCs w:val="24"/>
          <w:highlight w:val="none"/>
          <w:lang w:val="en-US" w:eastAsia="zh-CN"/>
          <w14:textFill>
            <w14:solidFill>
              <w14:schemeClr w14:val="tx1"/>
            </w14:solidFill>
          </w14:textFill>
        </w:rPr>
        <w:t>货物的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安装</w:t>
      </w:r>
      <w:r>
        <w:rPr>
          <w:rFonts w:hint="eastAsia" w:ascii="仿宋" w:hAnsi="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调试。</w:t>
      </w:r>
      <w:r>
        <w:rPr>
          <w:rFonts w:hint="eastAsia" w:ascii="仿宋" w:hAnsi="仿宋" w:cs="仿宋"/>
          <w:color w:val="000000" w:themeColor="text1"/>
          <w:highlight w:val="none"/>
          <w14:textFill>
            <w14:solidFill>
              <w14:schemeClr w14:val="tx1"/>
            </w14:solidFill>
          </w14:textFill>
        </w:rPr>
        <w:t>具体内容详见招标文件第五部分采购需求书。</w:t>
      </w:r>
    </w:p>
    <w:p w14:paraId="53745329">
      <w:pPr>
        <w:spacing w:line="360" w:lineRule="auto"/>
        <w:ind w:firstLine="482" w:firstLineChars="200"/>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响应缺漏项处理：</w:t>
      </w:r>
    </w:p>
    <w:p w14:paraId="2A93BD75">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bCs/>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投标人须对本项目所有货物及服务进行响应及报价，否则其投标将被拒绝。</w:t>
      </w:r>
    </w:p>
    <w:p w14:paraId="3F8EADB7">
      <w:pPr>
        <w:spacing w:line="360" w:lineRule="auto"/>
        <w:ind w:firstLine="480" w:firstLineChars="200"/>
        <w:rPr>
          <w:rFonts w:hint="eastAsia" w:ascii="仿宋" w:hAnsi="仿宋" w:cs="仿宋"/>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其他情形</w:t>
      </w:r>
    </w:p>
    <w:p w14:paraId="4B00577F">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中标人数量：不多于</w:t>
      </w:r>
      <w:r>
        <w:rPr>
          <w:rFonts w:hint="eastAsia" w:ascii="仿宋" w:hAnsi="仿宋" w:cs="仿宋"/>
          <w:bCs/>
          <w:color w:val="000000" w:themeColor="text1"/>
          <w:highlight w:val="none"/>
          <w:lang w:val="en-US" w:eastAsia="zh-CN"/>
          <w14:textFill>
            <w14:solidFill>
              <w14:schemeClr w14:val="tx1"/>
            </w14:solidFill>
          </w14:textFill>
        </w:rPr>
        <w:t>1</w:t>
      </w:r>
      <w:r>
        <w:rPr>
          <w:rFonts w:hint="eastAsia" w:ascii="仿宋" w:hAnsi="仿宋" w:cs="仿宋"/>
          <w:color w:val="000000" w:themeColor="text1"/>
          <w:highlight w:val="none"/>
          <w14:textFill>
            <w14:solidFill>
              <w14:schemeClr w14:val="tx1"/>
            </w14:solidFill>
          </w14:textFill>
        </w:rPr>
        <w:t>家</w:t>
      </w:r>
    </w:p>
    <w:p w14:paraId="0DDBB3D5">
      <w:pPr>
        <w:tabs>
          <w:tab w:val="left" w:pos="8160"/>
        </w:tabs>
        <w:spacing w:line="360" w:lineRule="auto"/>
        <w:ind w:firstLine="480" w:firstLineChars="200"/>
        <w:rPr>
          <w:rFonts w:hint="eastAsia" w:ascii="仿宋" w:hAnsi="仿宋" w:cs="仿宋"/>
          <w:color w:val="000000" w:themeColor="text1"/>
          <w:sz w:val="24"/>
          <w:szCs w:val="24"/>
          <w:highlight w:val="none"/>
          <w:lang w:val="en-US" w:eastAsia="zh-CN"/>
          <w14:textFill>
            <w14:solidFill>
              <w14:schemeClr w14:val="tx1"/>
            </w14:solidFill>
          </w14:textFill>
        </w:rPr>
      </w:pPr>
      <w:r>
        <w:rPr>
          <w:rFonts w:hint="eastAsia" w:ascii="仿宋" w:hAnsi="仿宋" w:cs="仿宋"/>
          <w:color w:val="000000" w:themeColor="text1"/>
          <w:sz w:val="24"/>
          <w:szCs w:val="24"/>
          <w:highlight w:val="none"/>
          <w:lang w:val="en-US" w:eastAsia="zh-CN"/>
          <w14:textFill>
            <w14:solidFill>
              <w14:schemeClr w14:val="tx1"/>
            </w14:solidFill>
          </w14:textFill>
        </w:rPr>
        <w:t>交货期：自合同签字生效之日起20个工作日内，将货物配送至招标人指定地点并完成货物的安装调试工作。</w:t>
      </w:r>
    </w:p>
    <w:p w14:paraId="63FDA857">
      <w:pPr>
        <w:tabs>
          <w:tab w:val="left" w:pos="8160"/>
        </w:tabs>
        <w:spacing w:line="360" w:lineRule="auto"/>
        <w:ind w:firstLine="480" w:firstLineChars="200"/>
        <w:rPr>
          <w:rFonts w:hint="eastAsia" w:ascii="仿宋" w:hAnsi="仿宋" w:cs="仿宋"/>
          <w:color w:val="000000" w:themeColor="text1"/>
          <w:sz w:val="24"/>
          <w:szCs w:val="24"/>
          <w:highlight w:val="none"/>
          <w:lang w:val="en-US" w:eastAsia="zh-CN"/>
          <w14:textFill>
            <w14:solidFill>
              <w14:schemeClr w14:val="tx1"/>
            </w14:solidFill>
          </w14:textFill>
        </w:rPr>
      </w:pPr>
      <w:r>
        <w:rPr>
          <w:rFonts w:hint="eastAsia" w:ascii="仿宋" w:hAnsi="仿宋" w:cs="仿宋"/>
          <w:color w:val="000000" w:themeColor="text1"/>
          <w:sz w:val="24"/>
          <w:szCs w:val="24"/>
          <w:highlight w:val="none"/>
          <w:lang w:val="en-US" w:eastAsia="zh-CN"/>
          <w14:textFill>
            <w14:solidFill>
              <w14:schemeClr w14:val="tx1"/>
            </w14:solidFill>
          </w14:textFill>
        </w:rPr>
        <w:t>供货地点：中国银行海东分行、格尔木分行指定区域。</w:t>
      </w:r>
    </w:p>
    <w:p w14:paraId="62892B7A">
      <w:pPr>
        <w:tabs>
          <w:tab w:val="left" w:pos="8160"/>
        </w:tabs>
        <w:spacing w:line="360" w:lineRule="auto"/>
        <w:ind w:firstLine="480" w:firstLineChars="200"/>
        <w:rPr>
          <w:rFonts w:hint="eastAsia" w:ascii="仿宋" w:hAnsi="仿宋" w:cs="仿宋"/>
          <w:color w:val="000000" w:themeColor="text1"/>
          <w:sz w:val="24"/>
          <w:szCs w:val="24"/>
          <w:highlight w:val="none"/>
          <w:lang w:val="en-US" w:eastAsia="zh-CN"/>
          <w14:textFill>
            <w14:solidFill>
              <w14:schemeClr w14:val="tx1"/>
            </w14:solidFill>
          </w14:textFill>
        </w:rPr>
      </w:pPr>
      <w:r>
        <w:rPr>
          <w:rFonts w:hint="eastAsia" w:ascii="仿宋" w:hAnsi="仿宋" w:cs="仿宋"/>
          <w:color w:val="000000" w:themeColor="text1"/>
          <w:sz w:val="24"/>
          <w:szCs w:val="24"/>
          <w:highlight w:val="none"/>
          <w:lang w:val="en-US" w:eastAsia="zh-CN"/>
          <w14:textFill>
            <w14:solidFill>
              <w14:schemeClr w14:val="tx1"/>
            </w14:solidFill>
          </w14:textFill>
        </w:rPr>
        <w:t>质保期限：自货物完成安装调试经招标人验收合格之日起5年。质保期内，由供应商提供免费的原厂质保服务。</w:t>
      </w:r>
    </w:p>
    <w:p w14:paraId="4CEA0143">
      <w:pPr>
        <w:tabs>
          <w:tab w:val="left" w:pos="8160"/>
        </w:tabs>
        <w:spacing w:line="360" w:lineRule="auto"/>
        <w:ind w:firstLine="480" w:firstLineChars="200"/>
        <w:rPr>
          <w:rFonts w:hint="eastAsia" w:ascii="仿宋" w:hAnsi="仿宋" w:cs="仿宋"/>
          <w:color w:val="000000" w:themeColor="text1"/>
          <w:sz w:val="24"/>
          <w:szCs w:val="24"/>
          <w:highlight w:val="none"/>
          <w:lang w:val="en-US" w:eastAsia="zh-CN"/>
          <w14:textFill>
            <w14:solidFill>
              <w14:schemeClr w14:val="tx1"/>
            </w14:solidFill>
          </w14:textFill>
        </w:rPr>
      </w:pPr>
      <w:r>
        <w:rPr>
          <w:rFonts w:hint="eastAsia" w:ascii="仿宋" w:hAnsi="仿宋" w:cs="仿宋"/>
          <w:color w:val="000000" w:themeColor="text1"/>
          <w:sz w:val="24"/>
          <w:szCs w:val="24"/>
          <w:highlight w:val="none"/>
          <w:lang w:val="en-US" w:eastAsia="zh-CN"/>
          <w14:textFill>
            <w14:solidFill>
              <w14:schemeClr w14:val="tx1"/>
            </w14:solidFill>
          </w14:textFill>
        </w:rPr>
        <w:t>资金来源：企业自筹。</w:t>
      </w:r>
    </w:p>
    <w:p w14:paraId="3C0D301B">
      <w:pPr>
        <w:pStyle w:val="27"/>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最高投标限价：</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834750元</w:t>
      </w:r>
      <w:r>
        <w:rPr>
          <w:rFonts w:hint="eastAsia" w:ascii="仿宋" w:hAnsi="仿宋" w:cs="仿宋"/>
          <w:color w:val="000000" w:themeColor="text1"/>
          <w:kern w:val="2"/>
          <w:sz w:val="24"/>
          <w:szCs w:val="24"/>
          <w:highlight w:val="none"/>
          <w:lang w:val="en-US" w:eastAsia="zh-CN" w:bidi="ar-SA"/>
          <w14:textFill>
            <w14:solidFill>
              <w14:schemeClr w14:val="tx1"/>
            </w14:solidFill>
          </w14:textFill>
        </w:rPr>
        <w:t>（含税），【其中：格尔木分行办公家具限价为356550元（含税）、宿舍家具的限价为197700元（含税）、海东分行宿舍家具限价为280500元（含税），投标人须在限价范围内报价，总项和各分项均不得超限价，超限价则投标无效。】</w:t>
      </w:r>
    </w:p>
    <w:p w14:paraId="4A4C0208">
      <w:pPr>
        <w:numPr>
          <w:ilvl w:val="0"/>
          <w:numId w:val="4"/>
        </w:numPr>
        <w:spacing w:line="360" w:lineRule="auto"/>
        <w:rPr>
          <w:rFonts w:ascii="仿宋" w:hAnsi="仿宋"/>
          <w:b/>
          <w:bCs/>
          <w:color w:val="000000" w:themeColor="text1"/>
          <w:highlight w:val="none"/>
          <w14:textFill>
            <w14:solidFill>
              <w14:schemeClr w14:val="tx1"/>
            </w14:solidFill>
          </w14:textFill>
        </w:rPr>
      </w:pPr>
      <w:r>
        <w:rPr>
          <w:rFonts w:hint="eastAsia" w:ascii="仿宋" w:hAnsi="仿宋"/>
          <w:b/>
          <w:bCs/>
          <w:color w:val="000000" w:themeColor="text1"/>
          <w:highlight w:val="none"/>
          <w14:textFill>
            <w14:solidFill>
              <w14:schemeClr w14:val="tx1"/>
            </w14:solidFill>
          </w14:textFill>
        </w:rPr>
        <w:t>采购</w:t>
      </w:r>
      <w:r>
        <w:rPr>
          <w:rFonts w:ascii="仿宋" w:hAnsi="仿宋"/>
          <w:b/>
          <w:bCs/>
          <w:color w:val="000000" w:themeColor="text1"/>
          <w:highlight w:val="none"/>
          <w14:textFill>
            <w14:solidFill>
              <w14:schemeClr w14:val="tx1"/>
            </w14:solidFill>
          </w14:textFill>
        </w:rPr>
        <w:t>流程：</w:t>
      </w:r>
    </w:p>
    <w:p w14:paraId="4818552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采用公开方式邀请符合条件的潜在投标人参与本项目采购。</w:t>
      </w:r>
    </w:p>
    <w:p w14:paraId="606194C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投标人须按要求在招标人委托的招标代理机构处报名登记，并领取招标文件。投标人须按照招标文件的要求，递交投标文件。</w:t>
      </w:r>
    </w:p>
    <w:p w14:paraId="3E8D75A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由评标委员会对领取招标文件，并按规定时间递交投标文件的投标人进行资格审查。资格审查合格的投标人将参加评审。</w:t>
      </w:r>
    </w:p>
    <w:p w14:paraId="60FAD4F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投标人须按规定参加投标。投标内容包括且不限于商务部分、服务部分、价格部分等。</w:t>
      </w:r>
    </w:p>
    <w:p w14:paraId="02F1020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招标人将根据最终评审结果，确定不多于1名的拟授予合同中标人（如资格审查合格的投标人数量不多于</w:t>
      </w:r>
      <w:r>
        <w:rPr>
          <w:rFonts w:hint="eastAsia" w:ascii="仿宋" w:hAnsi="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名，则重新组织招标）。如招标人今后政策发生变化或客观实际情况发生变化，招标人有权利单方面中止与中标人的合同。</w:t>
      </w:r>
    </w:p>
    <w:p w14:paraId="0161C487">
      <w:pPr>
        <w:numPr>
          <w:ilvl w:val="0"/>
          <w:numId w:val="3"/>
        </w:numPr>
        <w:spacing w:line="360" w:lineRule="auto"/>
        <w:outlineLvl w:val="1"/>
        <w:rPr>
          <w:rFonts w:ascii="仿宋" w:hAnsi="仿宋" w:cs="仿宋"/>
          <w:b/>
          <w:bCs/>
          <w:color w:val="000000" w:themeColor="text1"/>
          <w:highlight w:val="none"/>
          <w14:textFill>
            <w14:solidFill>
              <w14:schemeClr w14:val="tx1"/>
            </w14:solidFill>
          </w14:textFill>
        </w:rPr>
      </w:pPr>
      <w:bookmarkStart w:id="32" w:name="_Toc8205"/>
      <w:r>
        <w:rPr>
          <w:rFonts w:hint="eastAsia" w:ascii="仿宋" w:hAnsi="仿宋" w:cs="仿宋"/>
          <w:b/>
          <w:bCs/>
          <w:color w:val="000000" w:themeColor="text1"/>
          <w:highlight w:val="none"/>
          <w14:textFill>
            <w14:solidFill>
              <w14:schemeClr w14:val="tx1"/>
            </w14:solidFill>
          </w14:textFill>
        </w:rPr>
        <w:t>合格投标人的基本资质要求（须同时满足）：</w:t>
      </w:r>
      <w:bookmarkEnd w:id="27"/>
      <w:bookmarkEnd w:id="28"/>
      <w:bookmarkEnd w:id="29"/>
      <w:bookmarkEnd w:id="30"/>
      <w:bookmarkEnd w:id="31"/>
      <w:bookmarkEnd w:id="32"/>
      <w:bookmarkStart w:id="33" w:name="_Toc149230389"/>
      <w:bookmarkStart w:id="34" w:name="_Toc31641"/>
      <w:bookmarkStart w:id="35" w:name="_Toc150933573"/>
      <w:bookmarkStart w:id="36" w:name="_Toc108796135"/>
      <w:bookmarkStart w:id="37" w:name="_Toc5886"/>
    </w:p>
    <w:p w14:paraId="72A04098">
      <w:pPr>
        <w:numPr>
          <w:ilvl w:val="0"/>
          <w:numId w:val="6"/>
        </w:numPr>
        <w:tabs>
          <w:tab w:val="left" w:pos="0"/>
          <w:tab w:val="left" w:pos="1260"/>
          <w:tab w:val="left" w:pos="1440"/>
        </w:tabs>
        <w:spacing w:line="360" w:lineRule="auto"/>
        <w:rPr>
          <w:rFonts w:ascii="仿宋" w:hAnsi="仿宋" w:cs="仿宋"/>
          <w:color w:val="000000" w:themeColor="text1"/>
          <w:highlight w:val="none"/>
          <w14:textFill>
            <w14:solidFill>
              <w14:schemeClr w14:val="tx1"/>
            </w14:solidFill>
          </w14:textFill>
        </w:rPr>
      </w:pPr>
      <w:r>
        <w:rPr>
          <w:rFonts w:hint="eastAsia" w:ascii="仿宋" w:hAnsi="仿宋" w:cs="宋体"/>
          <w:b/>
          <w:bCs/>
          <w:color w:val="000000" w:themeColor="text1"/>
          <w:highlight w:val="none"/>
          <w14:textFill>
            <w14:solidFill>
              <w14:schemeClr w14:val="tx1"/>
            </w14:solidFill>
          </w14:textFill>
        </w:rPr>
        <w:t>投标人及所报产品/服务</w:t>
      </w:r>
      <w:r>
        <w:rPr>
          <w:rFonts w:hint="eastAsia" w:ascii="仿宋" w:hAnsi="仿宋"/>
          <w:b/>
          <w:bCs/>
          <w:color w:val="000000" w:themeColor="text1"/>
          <w:highlight w:val="none"/>
          <w14:textFill>
            <w14:solidFill>
              <w14:schemeClr w14:val="tx1"/>
            </w14:solidFill>
          </w14:textFill>
        </w:rPr>
        <w:t>的资质要求如下：</w:t>
      </w:r>
    </w:p>
    <w:p w14:paraId="425D35E0">
      <w:pPr>
        <w:pStyle w:val="28"/>
        <w:numPr>
          <w:ilvl w:val="0"/>
          <w:numId w:val="7"/>
        </w:numPr>
        <w:autoSpaceDE w:val="0"/>
        <w:spacing w:beforeAutospacing="0" w:afterAutospacing="0" w:line="360" w:lineRule="auto"/>
        <w:ind w:left="-60" w:leftChars="-25" w:firstLine="624"/>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投标人须具有独立承担民事责任的能力，遵守法律、法规，具有良好的商业信誉和健全的财务会计制度，并在人员、设备、资金等方面具备相应的履约能力。</w:t>
      </w:r>
    </w:p>
    <w:p w14:paraId="53C30AE5">
      <w:pPr>
        <w:pStyle w:val="28"/>
        <w:numPr>
          <w:ilvl w:val="0"/>
          <w:numId w:val="7"/>
        </w:numPr>
        <w:autoSpaceDE w:val="0"/>
        <w:spacing w:beforeAutospacing="0" w:afterAutospacing="0" w:line="360" w:lineRule="auto"/>
        <w:ind w:left="-60" w:leftChars="-25" w:firstLine="624"/>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若为代理商投标的，需提供制造商出具的针对本项目的唯一授权书（同一品牌只能指定唯一代理商）和原厂质保承诺函。若为分公司投标的，需提供具有法人资格的总公司的营业执照副本及本项目需要的资质证书复印件及针对本项目的授权书。总公司须就本项目出具授权书。已由总公司授权的，总公司取得的相关资质证书对分公司有效。</w:t>
      </w:r>
    </w:p>
    <w:p w14:paraId="70CE17D3">
      <w:pPr>
        <w:numPr>
          <w:ilvl w:val="0"/>
          <w:numId w:val="6"/>
        </w:numPr>
        <w:tabs>
          <w:tab w:val="left" w:pos="0"/>
          <w:tab w:val="left" w:pos="1260"/>
          <w:tab w:val="left" w:pos="1440"/>
        </w:tabs>
        <w:spacing w:line="360" w:lineRule="auto"/>
        <w:rPr>
          <w:rFonts w:ascii="仿宋" w:hAnsi="仿宋" w:cs="仿宋"/>
          <w:color w:val="000000" w:themeColor="text1"/>
          <w:highlight w:val="none"/>
          <w14:textFill>
            <w14:solidFill>
              <w14:schemeClr w14:val="tx1"/>
            </w14:solidFill>
          </w14:textFill>
        </w:rPr>
      </w:pPr>
      <w:r>
        <w:rPr>
          <w:rFonts w:ascii="仿宋" w:hAnsi="仿宋"/>
          <w:b/>
          <w:bCs/>
          <w:color w:val="000000" w:themeColor="text1"/>
          <w:highlight w:val="none"/>
          <w14:textFill>
            <w14:solidFill>
              <w14:schemeClr w14:val="tx1"/>
            </w14:solidFill>
          </w14:textFill>
        </w:rPr>
        <w:t>其他必须满足的要求：</w:t>
      </w:r>
    </w:p>
    <w:p w14:paraId="03933B21">
      <w:pPr>
        <w:numPr>
          <w:ilvl w:val="0"/>
          <w:numId w:val="0"/>
        </w:numPr>
        <w:spacing w:line="360" w:lineRule="auto"/>
        <w:ind w:left="-60" w:leftChars="-25"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投标人须在法律和财务上独立、合法运作并独立于招标人和代理机构，不得直接或间接地与招标人为本项目所委托的咨询公司或其附属机构有任何关联。</w:t>
      </w:r>
    </w:p>
    <w:p w14:paraId="498D01D4">
      <w:pPr>
        <w:numPr>
          <w:ilvl w:val="0"/>
          <w:numId w:val="0"/>
        </w:numPr>
        <w:spacing w:line="360" w:lineRule="auto"/>
        <w:ind w:left="-60" w:leftChars="-25"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2.</w:t>
      </w:r>
      <w:bookmarkStart w:id="38" w:name="_Toc150933564"/>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投标人必须从招标代理机构获得招标文件并登记备案，否则不能参加本次招标。</w:t>
      </w:r>
    </w:p>
    <w:p w14:paraId="160B5332">
      <w:pPr>
        <w:numPr>
          <w:ilvl w:val="0"/>
          <w:numId w:val="0"/>
        </w:numPr>
        <w:spacing w:line="360" w:lineRule="auto"/>
        <w:ind w:left="-60" w:leftChars="-25" w:firstLine="480" w:firstLineChars="200"/>
        <w:rPr>
          <w:rFonts w:ascii="仿宋" w:hAnsi="仿宋" w:cs="仿宋"/>
          <w:color w:val="000000" w:themeColor="text1"/>
          <w:highlight w:val="none"/>
          <w14:textFill>
            <w14:solidFill>
              <w14:schemeClr w14:val="tx1"/>
            </w14:solidFill>
          </w14:textFill>
        </w:rPr>
      </w:pPr>
      <w:r>
        <w:rPr>
          <w:rFonts w:hint="default" w:ascii="仿宋" w:hAnsi="仿宋" w:eastAsia="仿宋" w:cs="仿宋"/>
          <w:color w:val="000000" w:themeColor="text1"/>
          <w:kern w:val="2"/>
          <w:sz w:val="24"/>
          <w:szCs w:val="21"/>
          <w:highlight w:val="none"/>
          <w:lang w:val="en-US" w:eastAsia="zh-CN" w:bidi="ar-SA"/>
          <w14:textFill>
            <w14:solidFill>
              <w14:schemeClr w14:val="tx1"/>
            </w14:solidFill>
          </w14:textFill>
        </w:rPr>
        <w:t>3.</w:t>
      </w:r>
      <w:r>
        <w:rPr>
          <w:rFonts w:hint="eastAsia" w:ascii="仿宋" w:hAnsi="仿宋" w:cs="仿宋"/>
          <w:color w:val="000000" w:themeColor="text1"/>
          <w:highlight w:val="none"/>
          <w14:textFill>
            <w14:solidFill>
              <w14:schemeClr w14:val="tx1"/>
            </w14:solidFill>
          </w14:textFill>
        </w:rPr>
        <w:t>联合体投标：</w:t>
      </w:r>
      <w:bookmarkEnd w:id="38"/>
      <w:bookmarkStart w:id="39" w:name="_Toc150933567"/>
    </w:p>
    <w:p w14:paraId="7C09CBD7">
      <w:pPr>
        <w:numPr>
          <w:ilvl w:val="0"/>
          <w:numId w:val="0"/>
        </w:numPr>
        <w:spacing w:line="360" w:lineRule="auto"/>
        <w:ind w:left="-60" w:leftChars="-25"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bookmarkStart w:id="40" w:name="_Toc150933565"/>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☑本项目不接受联合体投标</w:t>
      </w:r>
      <w:bookmarkEnd w:id="40"/>
    </w:p>
    <w:p w14:paraId="09CDBC8E">
      <w:pPr>
        <w:numPr>
          <w:ilvl w:val="255"/>
          <w:numId w:val="0"/>
        </w:numPr>
        <w:spacing w:line="360" w:lineRule="auto"/>
        <w:ind w:firstLine="480" w:firstLineChars="200"/>
        <w:outlineLvl w:val="2"/>
        <w:rPr>
          <w:rFonts w:ascii="仿宋" w:hAnsi="仿宋"/>
          <w:color w:val="000000" w:themeColor="text1"/>
          <w:highlight w:val="none"/>
          <w14:textFill>
            <w14:solidFill>
              <w14:schemeClr w14:val="tx1"/>
            </w14:solidFill>
          </w14:textFill>
        </w:rPr>
      </w:pPr>
      <w:bookmarkStart w:id="41" w:name="_Toc23444"/>
      <w:bookmarkStart w:id="42" w:name="_Toc150933566"/>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其他情形</w:t>
      </w:r>
      <w:bookmarkEnd w:id="41"/>
      <w:bookmarkEnd w:id="42"/>
    </w:p>
    <w:p w14:paraId="31B5EE0D">
      <w:pPr>
        <w:numPr>
          <w:ilvl w:val="0"/>
          <w:numId w:val="0"/>
        </w:numPr>
        <w:spacing w:line="360" w:lineRule="auto"/>
        <w:ind w:left="-60" w:leftChars="-25" w:firstLine="480" w:firstLineChars="200"/>
        <w:rPr>
          <w:rFonts w:ascii="仿宋" w:hAnsi="仿宋" w:cs="仿宋"/>
          <w:color w:val="000000" w:themeColor="text1"/>
          <w:highlight w:val="none"/>
          <w14:textFill>
            <w14:solidFill>
              <w14:schemeClr w14:val="tx1"/>
            </w14:solidFill>
          </w14:textFill>
        </w:rPr>
      </w:pPr>
      <w:r>
        <w:rPr>
          <w:rFonts w:hint="default" w:ascii="仿宋" w:hAnsi="仿宋" w:eastAsia="仿宋" w:cs="仿宋"/>
          <w:color w:val="000000" w:themeColor="text1"/>
          <w:kern w:val="2"/>
          <w:sz w:val="24"/>
          <w:szCs w:val="21"/>
          <w:highlight w:val="none"/>
          <w:lang w:val="en-US" w:eastAsia="zh-CN" w:bidi="ar-SA"/>
          <w14:textFill>
            <w14:solidFill>
              <w14:schemeClr w14:val="tx1"/>
            </w14:solidFill>
          </w14:textFill>
        </w:rPr>
        <w:t>4.</w:t>
      </w:r>
      <w:r>
        <w:rPr>
          <w:rFonts w:hint="eastAsia" w:ascii="仿宋" w:hAnsi="仿宋" w:cs="仿宋"/>
          <w:color w:val="000000" w:themeColor="text1"/>
          <w:highlight w:val="none"/>
          <w14:textFill>
            <w14:solidFill>
              <w14:schemeClr w14:val="tx1"/>
            </w14:solidFill>
          </w14:textFill>
        </w:rPr>
        <w:t>项目分包：</w:t>
      </w:r>
      <w:bookmarkEnd w:id="39"/>
      <w:bookmarkStart w:id="43" w:name="_Toc150933570"/>
    </w:p>
    <w:p w14:paraId="0F71F964">
      <w:pPr>
        <w:spacing w:line="360" w:lineRule="auto"/>
        <w:ind w:firstLine="480" w:firstLineChars="200"/>
        <w:outlineLvl w:val="2"/>
        <w:rPr>
          <w:rFonts w:hint="eastAsia" w:ascii="仿宋" w:hAnsi="仿宋" w:cs="仿宋"/>
          <w:color w:val="000000" w:themeColor="text1"/>
          <w:highlight w:val="none"/>
          <w14:textFill>
            <w14:solidFill>
              <w14:schemeClr w14:val="tx1"/>
            </w14:solidFill>
          </w14:textFill>
        </w:rPr>
      </w:pPr>
      <w:bookmarkStart w:id="44" w:name="_Toc5882"/>
      <w:bookmarkStart w:id="45" w:name="_Toc150933568"/>
      <w:r>
        <w:rPr>
          <w:rFonts w:hint="eastAsia" w:ascii="仿宋" w:hAnsi="仿宋" w:cs="仿宋"/>
          <w:bCs/>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未经招标人允许，投标人不得将本项目采购内容以任何方式进行分包。</w:t>
      </w:r>
      <w:bookmarkEnd w:id="44"/>
      <w:bookmarkEnd w:id="45"/>
      <w:bookmarkStart w:id="46" w:name="_Toc150933569"/>
    </w:p>
    <w:p w14:paraId="4DB72AC8">
      <w:pPr>
        <w:spacing w:line="360" w:lineRule="auto"/>
        <w:ind w:firstLine="480" w:firstLineChars="200"/>
        <w:outlineLvl w:val="2"/>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bookmarkStart w:id="47" w:name="_Toc3458"/>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☑投标人不得将本项目采购内容以任何方式进行分包。</w:t>
      </w:r>
      <w:bookmarkEnd w:id="46"/>
      <w:bookmarkEnd w:id="47"/>
    </w:p>
    <w:p w14:paraId="53FF4981">
      <w:pPr>
        <w:numPr>
          <w:ilvl w:val="0"/>
          <w:numId w:val="0"/>
        </w:numPr>
        <w:spacing w:line="360" w:lineRule="auto"/>
        <w:ind w:left="-60" w:leftChars="-25"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5.</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投标人不得将本项目采购内容以任何方式进行转包</w:t>
      </w:r>
      <w:bookmarkEnd w:id="43"/>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p w14:paraId="30E36132">
      <w:pPr>
        <w:numPr>
          <w:ilvl w:val="0"/>
          <w:numId w:val="0"/>
        </w:numPr>
        <w:spacing w:line="360" w:lineRule="auto"/>
        <w:ind w:left="-60" w:leftChars="-25"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6.截至招标公告发布之日（含）止，投标人未被“信用中国”网站（http://www.creditchina.gov.cn）列入失信被执行人、重大税收违法失信主体、政府采购严重违法失信行为记录名单。</w:t>
      </w:r>
    </w:p>
    <w:p w14:paraId="707336C1">
      <w:pPr>
        <w:numPr>
          <w:ilvl w:val="0"/>
          <w:numId w:val="0"/>
        </w:numPr>
        <w:spacing w:line="360" w:lineRule="auto"/>
        <w:ind w:left="-60" w:leftChars="-25"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7.近3年（2022年1月1日至招标公告发布之日（含）止），投标人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22264DB7">
      <w:pPr>
        <w:numPr>
          <w:ilvl w:val="0"/>
          <w:numId w:val="0"/>
        </w:numPr>
        <w:spacing w:line="360" w:lineRule="auto"/>
        <w:ind w:left="-60" w:leftChars="-25" w:firstLine="480" w:firstLineChars="200"/>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8.截至递交投标文件截止日，投标人未处于中国银行供应商不良行为禁止准入处罚期内。</w:t>
      </w:r>
    </w:p>
    <w:p w14:paraId="3D0B1738">
      <w:pPr>
        <w:numPr>
          <w:ilvl w:val="0"/>
          <w:numId w:val="0"/>
        </w:numPr>
        <w:spacing w:line="360" w:lineRule="auto"/>
        <w:ind w:left="-60" w:leftChars="-25" w:firstLine="480" w:firstLineChars="200"/>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9.投标人须保证：招标人在使用其提供的服务时，在使用的国家/地区不存在任何已知的不合法的情形，也不存在任何已知的与第三方专利权、著作权、商标权等知识产权、肖像权等民事权利相关的侵权行为。如果有任何因招标人使用投标人提供的服务而提起的侵权指控，投标人须依法承担全部责任。</w:t>
      </w:r>
    </w:p>
    <w:p w14:paraId="3BE8A488">
      <w:pPr>
        <w:numPr>
          <w:ilvl w:val="0"/>
          <w:numId w:val="0"/>
        </w:numPr>
        <w:spacing w:line="360" w:lineRule="auto"/>
        <w:ind w:left="-60" w:leftChars="-25" w:firstLine="480" w:firstLineChars="200"/>
        <w:rPr>
          <w:rFonts w:ascii="仿宋" w:hAnsi="仿宋" w:cs="仿宋"/>
          <w:color w:val="000000" w:themeColor="text1"/>
          <w:szCs w:val="24"/>
          <w:highlight w:val="none"/>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10.</w:t>
      </w:r>
      <w:r>
        <w:rPr>
          <w:rFonts w:hint="eastAsia" w:ascii="仿宋" w:hAnsi="仿宋" w:cs="仿宋"/>
          <w:color w:val="000000" w:themeColor="text1"/>
          <w:highlight w:val="none"/>
          <w14:textFill>
            <w14:solidFill>
              <w14:schemeClr w14:val="tx1"/>
            </w14:solidFill>
          </w14:textFill>
        </w:rPr>
        <w:t>存在关联关系的投标人不同时参与：</w:t>
      </w:r>
    </w:p>
    <w:p w14:paraId="1E34D911">
      <w:pPr>
        <w:numPr>
          <w:ilvl w:val="0"/>
          <w:numId w:val="0"/>
        </w:numPr>
        <w:spacing w:line="360" w:lineRule="auto"/>
        <w:ind w:firstLine="480" w:firstLineChars="200"/>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☑本项目</w:t>
      </w:r>
    </w:p>
    <w:p w14:paraId="320994C7">
      <w:pPr>
        <w:numPr>
          <w:ilvl w:val="255"/>
          <w:numId w:val="0"/>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本项目的同一标段</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分包。</w:t>
      </w:r>
    </w:p>
    <w:p w14:paraId="3A15FF45">
      <w:pPr>
        <w:numPr>
          <w:ilvl w:val="255"/>
          <w:numId w:val="0"/>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关联关系投标人包含以下情况：</w:t>
      </w:r>
    </w:p>
    <w:p w14:paraId="3A0CAEA3">
      <w:pPr>
        <w:numPr>
          <w:ilvl w:val="0"/>
          <w:numId w:val="8"/>
        </w:numPr>
        <w:spacing w:line="360" w:lineRule="auto"/>
        <w:ind w:left="-60" w:leftChars="-25" w:firstLine="480" w:firstLineChars="200"/>
        <w:outlineLvl w:val="2"/>
        <w:rPr>
          <w:rFonts w:ascii="仿宋" w:hAnsi="仿宋" w:cs="仿宋"/>
          <w:color w:val="000000" w:themeColor="text1"/>
          <w:highlight w:val="none"/>
          <w14:textFill>
            <w14:solidFill>
              <w14:schemeClr w14:val="tx1"/>
            </w14:solidFill>
          </w14:textFill>
        </w:rPr>
      </w:pPr>
      <w:bookmarkStart w:id="48" w:name="_Toc150933571"/>
      <w:bookmarkStart w:id="49" w:name="_Toc6064"/>
      <w:r>
        <w:rPr>
          <w:rFonts w:hint="eastAsia" w:ascii="仿宋" w:hAnsi="仿宋" w:cs="仿宋"/>
          <w:color w:val="000000" w:themeColor="text1"/>
          <w:highlight w:val="none"/>
          <w14:textFill>
            <w14:solidFill>
              <w14:schemeClr w14:val="tx1"/>
            </w14:solidFill>
          </w14:textFill>
        </w:rPr>
        <w:t>与本投标人单位法定代表人</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负责人为同一人的其他投标人；</w:t>
      </w:r>
      <w:bookmarkEnd w:id="48"/>
      <w:bookmarkEnd w:id="49"/>
      <w:bookmarkStart w:id="50" w:name="_Toc149230388"/>
    </w:p>
    <w:p w14:paraId="3437D1E9">
      <w:pPr>
        <w:numPr>
          <w:ilvl w:val="0"/>
          <w:numId w:val="8"/>
        </w:numPr>
        <w:spacing w:line="360" w:lineRule="auto"/>
        <w:ind w:left="-60" w:leftChars="-25" w:firstLine="480" w:firstLineChars="200"/>
        <w:outlineLvl w:val="2"/>
        <w:rPr>
          <w:rFonts w:ascii="仿宋" w:hAnsi="仿宋" w:cs="仿宋"/>
          <w:color w:val="000000" w:themeColor="text1"/>
          <w:szCs w:val="24"/>
          <w:highlight w:val="none"/>
          <w14:textFill>
            <w14:solidFill>
              <w14:schemeClr w14:val="tx1"/>
            </w14:solidFill>
          </w14:textFill>
        </w:rPr>
      </w:pPr>
      <w:bookmarkStart w:id="51" w:name="_Toc150933572"/>
      <w:bookmarkStart w:id="52" w:name="_Toc14343"/>
      <w:r>
        <w:rPr>
          <w:rFonts w:hint="eastAsia" w:ascii="仿宋" w:hAnsi="仿宋" w:cs="仿宋"/>
          <w:color w:val="000000" w:themeColor="text1"/>
          <w:highlight w:val="none"/>
          <w14:textFill>
            <w14:solidFill>
              <w14:schemeClr w14:val="tx1"/>
            </w14:solidFill>
          </w14:textFill>
        </w:rPr>
        <w:t>与</w:t>
      </w:r>
      <w:r>
        <w:rPr>
          <w:rFonts w:hint="eastAsia" w:ascii="仿宋" w:hAnsi="仿宋" w:cs="仿宋"/>
          <w:color w:val="000000" w:themeColor="text1"/>
          <w:szCs w:val="24"/>
          <w:highlight w:val="none"/>
          <w14:textFill>
            <w14:solidFill>
              <w14:schemeClr w14:val="tx1"/>
            </w14:solidFill>
          </w14:textFill>
        </w:rPr>
        <w:t>本投标人存在直接控股、管理关系的其他投标人。</w:t>
      </w:r>
      <w:bookmarkEnd w:id="50"/>
      <w:bookmarkEnd w:id="51"/>
      <w:bookmarkEnd w:id="52"/>
    </w:p>
    <w:p w14:paraId="3A2157D4">
      <w:pPr>
        <w:spacing w:line="360" w:lineRule="auto"/>
        <w:ind w:firstLine="480" w:firstLineChars="2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投标人应向招标人如实披露与本投标人存在关联关系的其他投标人。招标人有权取消关联关系投标人参与本项目的资格或重新组织招标。</w:t>
      </w:r>
    </w:p>
    <w:p w14:paraId="3CBCD0EC">
      <w:pPr>
        <w:numPr>
          <w:ilvl w:val="0"/>
          <w:numId w:val="0"/>
        </w:numPr>
        <w:spacing w:line="360" w:lineRule="auto"/>
        <w:ind w:left="-60" w:leftChars="-25" w:firstLine="480" w:firstLineChars="200"/>
        <w:rPr>
          <w:rFonts w:ascii="仿宋" w:hAnsi="仿宋" w:cs="仿宋"/>
          <w:color w:val="000000" w:themeColor="text1"/>
          <w:szCs w:val="24"/>
          <w:highlight w:val="none"/>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11.</w:t>
      </w:r>
      <w:r>
        <w:rPr>
          <w:rFonts w:hint="eastAsia" w:ascii="仿宋" w:hAnsi="仿宋" w:cs="仿宋"/>
          <w:color w:val="000000" w:themeColor="text1"/>
          <w:szCs w:val="24"/>
          <w:highlight w:val="none"/>
          <w14:textFill>
            <w14:solidFill>
              <w14:schemeClr w14:val="tx1"/>
            </w14:solidFill>
          </w14:textFill>
        </w:rPr>
        <w:t>投标人之间不得相互串通投标报价，不得排挤其他投标人的公平竞争，损害招标人或者其他投标人的合法权益。</w:t>
      </w:r>
    </w:p>
    <w:p w14:paraId="4EDFE8E3">
      <w:pPr>
        <w:numPr>
          <w:ilvl w:val="0"/>
          <w:numId w:val="0"/>
        </w:numPr>
        <w:spacing w:line="360" w:lineRule="auto"/>
        <w:ind w:left="-60" w:leftChars="-25" w:firstLine="480" w:firstLineChars="200"/>
        <w:rPr>
          <w:rFonts w:ascii="仿宋" w:hAnsi="仿宋" w:cs="仿宋"/>
          <w:color w:val="000000" w:themeColor="text1"/>
          <w:szCs w:val="24"/>
          <w:highlight w:val="none"/>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12.</w:t>
      </w:r>
      <w:r>
        <w:rPr>
          <w:rFonts w:hint="eastAsia" w:ascii="仿宋" w:hAnsi="仿宋" w:cs="仿宋"/>
          <w:color w:val="000000" w:themeColor="text1"/>
          <w:szCs w:val="24"/>
          <w:highlight w:val="none"/>
          <w14:textFill>
            <w14:solidFill>
              <w14:schemeClr w14:val="tx1"/>
            </w14:solidFill>
          </w14:textFill>
        </w:rPr>
        <w:t>投标人提供的全部材料必须真实有效，投标人如提供虚假材料或存在弄虚作假行为，其投标将被拒绝，招标人有权将其列入中国银行供应商不良行为名单。</w:t>
      </w:r>
    </w:p>
    <w:p w14:paraId="78F74C58">
      <w:pPr>
        <w:numPr>
          <w:ilvl w:val="0"/>
          <w:numId w:val="0"/>
        </w:numPr>
        <w:spacing w:line="360" w:lineRule="auto"/>
        <w:ind w:left="-60" w:leftChars="-25" w:firstLine="480" w:firstLineChars="200"/>
        <w:rPr>
          <w:rFonts w:ascii="仿宋" w:hAnsi="仿宋"/>
          <w:color w:val="000000" w:themeColor="text1"/>
          <w:highlight w:val="none"/>
          <w14:textFill>
            <w14:solidFill>
              <w14:schemeClr w14:val="tx1"/>
            </w14:solidFill>
          </w14:textFill>
        </w:rPr>
      </w:pPr>
      <w:r>
        <w:rPr>
          <w:rFonts w:hint="default" w:ascii="仿宋" w:hAnsi="仿宋" w:eastAsia="仿宋" w:cs="Times New Roman"/>
          <w:color w:val="000000" w:themeColor="text1"/>
          <w:kern w:val="2"/>
          <w:sz w:val="24"/>
          <w:szCs w:val="21"/>
          <w:highlight w:val="none"/>
          <w:lang w:val="en-US" w:eastAsia="zh-CN" w:bidi="ar-SA"/>
          <w14:textFill>
            <w14:solidFill>
              <w14:schemeClr w14:val="tx1"/>
            </w14:solidFill>
          </w14:textFill>
        </w:rPr>
        <w:t>13.</w:t>
      </w:r>
      <w:r>
        <w:rPr>
          <w:rFonts w:hint="eastAsia" w:ascii="仿宋" w:hAnsi="仿宋" w:cs="仿宋"/>
          <w:color w:val="000000" w:themeColor="text1"/>
          <w:szCs w:val="24"/>
          <w:highlight w:val="none"/>
          <w14:textFill>
            <w14:solidFill>
              <w14:schemeClr w14:val="tx1"/>
            </w14:solidFill>
          </w14:textFill>
        </w:rPr>
        <w:t>投标人应未受到联合国、中国或其他招标人认为需适用的制裁发布主体的制裁，也未被前述制裁对象拥有或实际控制。</w:t>
      </w:r>
    </w:p>
    <w:bookmarkEnd w:id="33"/>
    <w:bookmarkEnd w:id="34"/>
    <w:bookmarkEnd w:id="35"/>
    <w:bookmarkEnd w:id="36"/>
    <w:bookmarkEnd w:id="37"/>
    <w:p w14:paraId="296FCEE6">
      <w:pPr>
        <w:numPr>
          <w:ilvl w:val="0"/>
          <w:numId w:val="3"/>
        </w:numPr>
        <w:spacing w:line="360" w:lineRule="auto"/>
        <w:outlineLvl w:val="1"/>
        <w:rPr>
          <w:rFonts w:ascii="仿宋" w:hAnsi="仿宋" w:cs="仿宋"/>
          <w:b/>
          <w:bCs/>
          <w:color w:val="000000" w:themeColor="text1"/>
          <w:highlight w:val="none"/>
          <w14:textFill>
            <w14:solidFill>
              <w14:schemeClr w14:val="tx1"/>
            </w14:solidFill>
          </w14:textFill>
        </w:rPr>
      </w:pPr>
      <w:bookmarkStart w:id="53" w:name="_Toc16841"/>
      <w:bookmarkStart w:id="54" w:name="_Toc149230390"/>
      <w:bookmarkStart w:id="55" w:name="_Toc150933574"/>
      <w:bookmarkStart w:id="56" w:name="_Toc108796136"/>
      <w:r>
        <w:rPr>
          <w:rFonts w:hint="eastAsia" w:ascii="仿宋" w:hAnsi="仿宋" w:cs="仿宋"/>
          <w:b/>
          <w:bCs/>
          <w:color w:val="000000" w:themeColor="text1"/>
          <w:highlight w:val="none"/>
          <w14:textFill>
            <w14:solidFill>
              <w14:schemeClr w14:val="tx1"/>
            </w14:solidFill>
          </w14:textFill>
        </w:rPr>
        <w:t>招标文件发售：</w:t>
      </w:r>
      <w:bookmarkEnd w:id="53"/>
    </w:p>
    <w:p w14:paraId="7DB3E4E3">
      <w:pPr>
        <w:numPr>
          <w:ilvl w:val="0"/>
          <w:numId w:val="9"/>
        </w:numPr>
        <w:spacing w:line="360" w:lineRule="auto"/>
        <w:ind w:left="-60" w:leftChars="-25" w:firstLine="624"/>
        <w:rPr>
          <w:rFonts w:hint="eastAsia"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凡有意向参加本项目的投标人应前往中国银行中银智采平台（https://ctpch.fmscop.bankofchina.com）（以下简称“中银智采平台”）进行免费注册。并关注以下事项：</w:t>
      </w:r>
    </w:p>
    <w:p w14:paraId="026148E5">
      <w:pPr>
        <w:numPr>
          <w:ilvl w:val="255"/>
          <w:numId w:val="0"/>
        </w:numPr>
        <w:spacing w:line="360" w:lineRule="auto"/>
        <w:ind w:firstLine="480" w:firstLineChars="200"/>
        <w:rPr>
          <w:rFonts w:hint="eastAsia"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1）请有意愿参与采购工作的供应商尽早在“中银智采”完成注册工作，并在招标/邀请文件领取截止日前1工作日内完成注册。注册方式详见中国银行中银智采平台（https://ctpch.fmscop.bankofchina.com）“最新动态”中的“供应商注册登录操作手册”。</w:t>
      </w:r>
    </w:p>
    <w:p w14:paraId="31ADFE5E">
      <w:pPr>
        <w:numPr>
          <w:ilvl w:val="255"/>
          <w:numId w:val="0"/>
        </w:numPr>
        <w:spacing w:line="360" w:lineRule="auto"/>
        <w:ind w:firstLine="480" w:firstLineChars="200"/>
        <w:rPr>
          <w:rFonts w:hint="eastAsia"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2）在“中银智采”系统中提交材料不能代表注册成功，中国银行将对供应商提交材料进行注册审核，审核通过后供应商才注册成功。请供应商于提交材料当日晚些时间或第二日进行注册审核情况查询，实时关注注册审核结果，以免影响使用。未注册成功的供应商无法参与中国银行采购项目。</w:t>
      </w:r>
    </w:p>
    <w:p w14:paraId="637C7393">
      <w:pPr>
        <w:numPr>
          <w:ilvl w:val="255"/>
          <w:numId w:val="0"/>
        </w:numPr>
        <w:spacing w:line="360" w:lineRule="auto"/>
        <w:ind w:firstLine="480" w:firstLineChars="200"/>
        <w:rPr>
          <w:rFonts w:hint="eastAsia"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3）如供应商在领取招标/邀请文件截止当日（工作日）注册，请联系采购项目联系人或技术支持人员，申请加急审核，并关注注册材料审核结果。因供应商提交材料质量等原因，无法保证供应商注册审核通过，所造成的影响由供应商自行承担。</w:t>
      </w:r>
    </w:p>
    <w:p w14:paraId="1C88B3F0">
      <w:pPr>
        <w:numPr>
          <w:ilvl w:val="255"/>
          <w:numId w:val="0"/>
        </w:numPr>
        <w:spacing w:line="360" w:lineRule="auto"/>
        <w:ind w:firstLine="480" w:firstLineChars="20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4）注册成功的投标人请登录注册账号后并于中银智采平台的“工作台-操作手册”处下载“供应商投标业务操作手册”或下载中国银行中银智采平台（https://ctpch.fmscop.bankofchina.com）“最新动态”中的“供应商投标业务操作手册”中的附件。</w:t>
      </w:r>
    </w:p>
    <w:p w14:paraId="7190F358">
      <w:pPr>
        <w:numPr>
          <w:ilvl w:val="0"/>
          <w:numId w:val="9"/>
        </w:numPr>
        <w:spacing w:line="360" w:lineRule="auto"/>
        <w:ind w:left="-60" w:leftChars="-25" w:firstLine="624"/>
        <w:rPr>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本项目实行中银智采平台发售领取电子版招标文件，无纸质版招标文件。</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招标文件发售时间为2025年8月</w:t>
      </w:r>
      <w:r>
        <w:rPr>
          <w:rFonts w:hint="eastAsia" w:ascii="仿宋" w:hAnsi="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日08时30分至2025年8月8日17时30分止（北京时间，下同，节假日除外）。</w:t>
      </w:r>
      <w:r>
        <w:rPr>
          <w:rFonts w:hint="eastAsia" w:ascii="仿宋" w:hAnsi="仿宋" w:cs="仿宋"/>
          <w:color w:val="000000" w:themeColor="text1"/>
          <w:szCs w:val="24"/>
          <w:highlight w:val="none"/>
          <w14:textFill>
            <w14:solidFill>
              <w14:schemeClr w14:val="tx1"/>
            </w14:solidFill>
          </w14:textFill>
        </w:rPr>
        <w:t>未购买招标文件的投标人不得参加投标</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招标文件获取的具体时间以中银智采平台通知时间为准。</w:t>
      </w:r>
    </w:p>
    <w:p w14:paraId="7CCDD2B6">
      <w:pPr>
        <w:numPr>
          <w:ilvl w:val="0"/>
          <w:numId w:val="9"/>
        </w:numPr>
        <w:spacing w:line="360" w:lineRule="auto"/>
        <w:ind w:left="-60" w:leftChars="-25" w:firstLine="624"/>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发售领取招标文件操作流程：</w:t>
      </w:r>
    </w:p>
    <w:p w14:paraId="77E3ED5D">
      <w:pPr>
        <w:spacing w:line="360" w:lineRule="auto"/>
        <w:ind w:firstLine="480" w:firstLineChars="200"/>
        <w:rPr>
          <w:rFonts w:ascii="仿宋" w:hAnsi="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（1）出  售：凡愿意参加投标的合格投标人</w:t>
      </w:r>
      <w:r>
        <w:rPr>
          <w:rFonts w:hint="eastAsia" w:ascii="仿宋" w:hAnsi="仿宋" w:eastAsia="仿宋" w:cs="仿宋"/>
          <w:color w:val="000000" w:themeColor="text1"/>
          <w:sz w:val="24"/>
          <w:szCs w:val="24"/>
          <w:highlight w:val="none"/>
          <w:lang w:eastAsia="zh-CN"/>
          <w14:textFill>
            <w14:solidFill>
              <w14:schemeClr w14:val="tx1"/>
            </w14:solidFill>
          </w14:textFill>
        </w:rPr>
        <w:t>请按前述要求，完成注册和缴费后，待招标代理机构审核通过后，即可领取招标文件</w:t>
      </w:r>
      <w:r>
        <w:rPr>
          <w:rFonts w:hint="eastAsia" w:ascii="仿宋" w:hAnsi="仿宋" w:eastAsia="仿宋" w:cs="仿宋"/>
          <w:color w:val="000000" w:themeColor="text1"/>
          <w:sz w:val="24"/>
          <w:szCs w:val="24"/>
          <w:highlight w:val="none"/>
          <w14:textFill>
            <w14:solidFill>
              <w14:schemeClr w14:val="tx1"/>
            </w14:solidFill>
          </w14:textFill>
        </w:rPr>
        <w:t>。</w:t>
      </w:r>
    </w:p>
    <w:p w14:paraId="5181A1FB">
      <w:pPr>
        <w:numPr>
          <w:ilvl w:val="255"/>
          <w:numId w:val="0"/>
        </w:numPr>
        <w:spacing w:line="360" w:lineRule="auto"/>
        <w:ind w:firstLine="480" w:firstLineChars="20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（2）售  价：</w:t>
      </w:r>
      <w:r>
        <w:rPr>
          <w:rFonts w:hint="eastAsia" w:ascii="仿宋" w:hAnsi="仿宋" w:cs="仿宋"/>
          <w:color w:val="000000" w:themeColor="text1"/>
          <w:szCs w:val="24"/>
          <w:highlight w:val="none"/>
          <w:lang w:val="en-US" w:eastAsia="zh-CN"/>
          <w14:textFill>
            <w14:solidFill>
              <w14:schemeClr w14:val="tx1"/>
            </w14:solidFill>
          </w14:textFill>
        </w:rPr>
        <w:t>245</w:t>
      </w:r>
      <w:r>
        <w:rPr>
          <w:rFonts w:hint="eastAsia" w:ascii="仿宋" w:hAnsi="仿宋" w:cs="仿宋"/>
          <w:color w:val="000000" w:themeColor="text1"/>
          <w:szCs w:val="24"/>
          <w:highlight w:val="none"/>
          <w14:textFill>
            <w14:solidFill>
              <w14:schemeClr w14:val="tx1"/>
            </w14:solidFill>
          </w14:textFill>
        </w:rPr>
        <w:t>元人民币（招标文件售后不退）。</w:t>
      </w:r>
    </w:p>
    <w:p w14:paraId="57C67F02">
      <w:pPr>
        <w:spacing w:line="360" w:lineRule="auto"/>
        <w:ind w:firstLine="480" w:firstLineChars="200"/>
        <w:rPr>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（3）领取招标文件：投标人在向招标代理机构支付招标文件费用后，保留付款凭证，登录中银智采平台供应商界面后点击</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公开商机</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申请领取文件</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页面上传付款凭证</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提交审核</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w:t>
      </w:r>
    </w:p>
    <w:p w14:paraId="22D8BBEE">
      <w:pPr>
        <w:numPr>
          <w:ilvl w:val="255"/>
          <w:numId w:val="0"/>
        </w:numPr>
        <w:spacing w:line="360" w:lineRule="auto"/>
        <w:ind w:firstLine="480" w:firstLineChars="20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（4）下载招标文件：经招标代理机构审核通过后，投标人方可下载招标文件。下载操作流程：（登录中银智采平台供应商界面后点击</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公开商机</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领取文件”</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下载”）。</w:t>
      </w:r>
    </w:p>
    <w:p w14:paraId="7DFB9377">
      <w:pPr>
        <w:numPr>
          <w:ilvl w:val="0"/>
          <w:numId w:val="9"/>
        </w:numPr>
        <w:spacing w:line="360" w:lineRule="auto"/>
        <w:ind w:left="-60" w:leftChars="-25" w:firstLine="624"/>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招标人对资格预审文件、招标文件进行澄清或者修改的，将通过中银智采平台公告澄清或者修改的内容。</w:t>
      </w:r>
    </w:p>
    <w:p w14:paraId="650D09DA">
      <w:pPr>
        <w:numPr>
          <w:ilvl w:val="0"/>
          <w:numId w:val="9"/>
        </w:numPr>
        <w:spacing w:line="360" w:lineRule="auto"/>
        <w:ind w:left="-60" w:leftChars="-25" w:firstLine="624"/>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应充分考虑平台注册、实名认证、供应商资料准备及上传、供应商注册申请后台审核、项目审核、招标文件下载等流程所需的时间，务必在招标文件领取截止时间1个工作日前完成，否则将无法保证获取招标文件。</w:t>
      </w:r>
    </w:p>
    <w:p w14:paraId="57B2E9CB">
      <w:pPr>
        <w:numPr>
          <w:ilvl w:val="0"/>
          <w:numId w:val="9"/>
        </w:numPr>
        <w:spacing w:line="360" w:lineRule="auto"/>
        <w:ind w:left="-60" w:leftChars="-25" w:firstLine="624"/>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投标人需在中银智采平台“基础管理</w:t>
      </w:r>
      <w:r>
        <w:rPr>
          <w:rFonts w:ascii="仿宋" w:hAnsi="仿宋" w:cs="仿宋"/>
          <w:color w:val="000000" w:themeColor="text1"/>
          <w:szCs w:val="24"/>
          <w:highlight w:val="none"/>
          <w14:textFill>
            <w14:solidFill>
              <w14:schemeClr w14:val="tx1"/>
            </w14:solidFill>
          </w14:textFill>
        </w:rPr>
        <w:t>-软件下载”页面</w:t>
      </w:r>
      <w:r>
        <w:rPr>
          <w:rFonts w:hint="eastAsia" w:ascii="仿宋" w:hAnsi="仿宋" w:cs="仿宋"/>
          <w:color w:val="000000" w:themeColor="text1"/>
          <w:szCs w:val="24"/>
          <w:highlight w:val="none"/>
          <w14:textFill>
            <w14:solidFill>
              <w14:schemeClr w14:val="tx1"/>
            </w14:solidFill>
          </w14:textFill>
        </w:rPr>
        <w:t>，及时下载中国银行投标客户端，用于申请CA证书、制作投标文件。目前投标客户端仅适用Windows系统。</w:t>
      </w:r>
    </w:p>
    <w:p w14:paraId="06510D35">
      <w:pPr>
        <w:numPr>
          <w:ilvl w:val="0"/>
          <w:numId w:val="9"/>
        </w:numPr>
        <w:spacing w:line="360" w:lineRule="auto"/>
        <w:ind w:left="-60" w:leftChars="-25" w:firstLine="624"/>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投标人务必在投标文件递交截止时间1个工作日前申请CA证书，否则将不能使用CA证书进行后续操作，例如投标文件加密、解密和加盖</w:t>
      </w:r>
      <w:r>
        <w:rPr>
          <w:rFonts w:ascii="仿宋" w:hAnsi="仿宋" w:cs="仿宋"/>
          <w:color w:val="000000" w:themeColor="text1"/>
          <w:szCs w:val="24"/>
          <w:highlight w:val="none"/>
          <w14:textFill>
            <w14:solidFill>
              <w14:schemeClr w14:val="tx1"/>
            </w14:solidFill>
          </w14:textFill>
        </w:rPr>
        <w:t>CA</w:t>
      </w:r>
      <w:r>
        <w:rPr>
          <w:rFonts w:hint="eastAsia" w:ascii="仿宋" w:hAnsi="仿宋" w:cs="仿宋"/>
          <w:color w:val="000000" w:themeColor="text1"/>
          <w:szCs w:val="24"/>
          <w:highlight w:val="none"/>
          <w14:textFill>
            <w14:solidFill>
              <w14:schemeClr w14:val="tx1"/>
            </w14:solidFill>
          </w14:textFill>
        </w:rPr>
        <w:t>电子印章操作等。</w:t>
      </w:r>
    </w:p>
    <w:p w14:paraId="1AEF8036">
      <w:pPr>
        <w:numPr>
          <w:ilvl w:val="0"/>
          <w:numId w:val="9"/>
        </w:numPr>
        <w:spacing w:line="360" w:lineRule="auto"/>
        <w:ind w:left="-60" w:leftChars="-25" w:firstLine="624"/>
        <w:rPr>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投标人针对技术问题的咨询，可拨打中银智采平台技术支持联系电话：010-66593459，工作时间（工作日）：8:30-11:30、13:30-17:30，其他时间及法定节假日不提供技术支持。</w:t>
      </w:r>
    </w:p>
    <w:p w14:paraId="6F04AA5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57" w:name="_Toc347771173"/>
      <w:bookmarkStart w:id="58" w:name="_Toc325969419"/>
      <w:bookmarkStart w:id="59" w:name="_Toc325969681"/>
      <w:bookmarkStart w:id="60" w:name="_Toc325969567"/>
      <w:bookmarkStart w:id="61" w:name="_Toc383529024"/>
      <w:bookmarkStart w:id="62" w:name="_Toc347770463"/>
      <w:bookmarkStart w:id="63" w:name="_Toc148111101"/>
      <w:bookmarkStart w:id="64" w:name="_Toc149224048"/>
      <w:bookmarkStart w:id="65" w:name="_Toc11742"/>
      <w:bookmarkStart w:id="66" w:name="_Toc148110995"/>
      <w:r>
        <w:rPr>
          <w:rFonts w:hint="eastAsia" w:ascii="仿宋" w:hAnsi="仿宋" w:eastAsia="仿宋" w:cs="仿宋"/>
          <w:b/>
          <w:bCs/>
          <w:color w:val="000000" w:themeColor="text1"/>
          <w:sz w:val="24"/>
          <w:szCs w:val="24"/>
          <w:highlight w:val="none"/>
          <w14:textFill>
            <w14:solidFill>
              <w14:schemeClr w14:val="tx1"/>
            </w14:solidFill>
          </w14:textFill>
        </w:rPr>
        <w:t>发布公告的媒介</w:t>
      </w:r>
      <w:bookmarkEnd w:id="57"/>
      <w:bookmarkEnd w:id="58"/>
      <w:bookmarkEnd w:id="59"/>
      <w:bookmarkEnd w:id="60"/>
      <w:bookmarkEnd w:id="61"/>
      <w:bookmarkEnd w:id="62"/>
      <w:r>
        <w:rPr>
          <w:rFonts w:hint="eastAsia" w:ascii="仿宋" w:hAnsi="仿宋" w:eastAsia="仿宋" w:cs="仿宋"/>
          <w:b/>
          <w:bCs/>
          <w:color w:val="000000" w:themeColor="text1"/>
          <w:sz w:val="24"/>
          <w:szCs w:val="24"/>
          <w:highlight w:val="none"/>
          <w14:textFill>
            <w14:solidFill>
              <w14:schemeClr w14:val="tx1"/>
            </w14:solidFill>
          </w14:textFill>
        </w:rPr>
        <w:t>：</w:t>
      </w:r>
      <w:bookmarkEnd w:id="63"/>
      <w:bookmarkEnd w:id="64"/>
      <w:bookmarkEnd w:id="65"/>
      <w:bookmarkEnd w:id="66"/>
    </w:p>
    <w:p w14:paraId="46086800">
      <w:pPr>
        <w:spacing w:line="360" w:lineRule="auto"/>
        <w:ind w:firstLine="480" w:firstLineChars="200"/>
        <w:rPr>
          <w:rFonts w:ascii="仿宋" w:hAnsi="仿宋"/>
          <w:color w:val="000000" w:themeColor="text1"/>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本公告同时在中国银行中银智采平台（https://ctpch.fmscop.bankofchina.com/pcm） 、《青海项目信息网》</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http://qhei.net.cn/</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ascii="仿宋" w:hAnsi="仿宋"/>
          <w:color w:val="000000" w:themeColor="text1"/>
          <w:highlight w:val="none"/>
          <w14:textFill>
            <w14:solidFill>
              <w14:schemeClr w14:val="tx1"/>
            </w14:solidFill>
          </w14:textFill>
        </w:rPr>
        <w:t>上进行发布。</w:t>
      </w:r>
    </w:p>
    <w:bookmarkEnd w:id="54"/>
    <w:bookmarkEnd w:id="55"/>
    <w:bookmarkEnd w:id="56"/>
    <w:p w14:paraId="31E0E76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67" w:name="_Toc12411"/>
      <w:r>
        <w:rPr>
          <w:rFonts w:hint="eastAsia" w:ascii="仿宋" w:hAnsi="仿宋" w:eastAsia="仿宋" w:cs="仿宋"/>
          <w:b/>
          <w:bCs/>
          <w:color w:val="000000" w:themeColor="text1"/>
          <w:sz w:val="24"/>
          <w:szCs w:val="24"/>
          <w:highlight w:val="none"/>
          <w14:textFill>
            <w14:solidFill>
              <w14:schemeClr w14:val="tx1"/>
            </w14:solidFill>
          </w14:textFill>
        </w:rPr>
        <w:t>投标文件递交</w:t>
      </w:r>
      <w:bookmarkEnd w:id="67"/>
    </w:p>
    <w:p w14:paraId="1A43B4D0">
      <w:pPr>
        <w:keepNext w:val="0"/>
        <w:keepLines w:val="0"/>
        <w:pageBreakBefore w:val="0"/>
        <w:numPr>
          <w:ilvl w:val="0"/>
          <w:numId w:val="10"/>
        </w:numPr>
        <w:kinsoku/>
        <w:wordWrap/>
        <w:overflowPunct/>
        <w:topLinePunct w:val="0"/>
        <w:autoSpaceDE/>
        <w:autoSpaceDN/>
        <w:bidi w:val="0"/>
        <w:adjustRightInd/>
        <w:snapToGrid/>
        <w:spacing w:line="360" w:lineRule="auto"/>
        <w:ind w:left="-60" w:leftChars="-25" w:right="0" w:rightChars="0" w:firstLine="480" w:firstLineChars="200"/>
        <w:jc w:val="left"/>
        <w:textAlignment w:val="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本项目投标文件递交截止时间为20</w:t>
      </w:r>
      <w:r>
        <w:rPr>
          <w:rFonts w:hint="eastAsia" w:ascii="仿宋" w:hAnsi="仿宋" w:cs="仿宋"/>
          <w:color w:val="000000" w:themeColor="text1"/>
          <w:szCs w:val="24"/>
          <w:highlight w:val="none"/>
          <w:lang w:val="en-US" w:eastAsia="zh-CN"/>
          <w14:textFill>
            <w14:solidFill>
              <w14:schemeClr w14:val="tx1"/>
            </w14:solidFill>
          </w14:textFill>
        </w:rPr>
        <w:t>25</w:t>
      </w:r>
      <w:r>
        <w:rPr>
          <w:rFonts w:hint="eastAsia" w:ascii="仿宋" w:hAnsi="仿宋" w:cs="仿宋"/>
          <w:color w:val="000000" w:themeColor="text1"/>
          <w:szCs w:val="24"/>
          <w:highlight w:val="none"/>
          <w14:textFill>
            <w14:solidFill>
              <w14:schemeClr w14:val="tx1"/>
            </w14:solidFill>
          </w14:textFill>
        </w:rPr>
        <w:t>年</w:t>
      </w:r>
      <w:r>
        <w:rPr>
          <w:rFonts w:hint="eastAsia" w:ascii="仿宋" w:hAnsi="仿宋" w:cs="仿宋"/>
          <w:color w:val="000000" w:themeColor="text1"/>
          <w:szCs w:val="24"/>
          <w:highlight w:val="none"/>
          <w:lang w:val="en-US" w:eastAsia="zh-CN"/>
          <w14:textFill>
            <w14:solidFill>
              <w14:schemeClr w14:val="tx1"/>
            </w14:solidFill>
          </w14:textFill>
        </w:rPr>
        <w:t>8</w:t>
      </w:r>
      <w:r>
        <w:rPr>
          <w:rFonts w:hint="eastAsia" w:ascii="仿宋" w:hAnsi="仿宋" w:cs="仿宋"/>
          <w:color w:val="000000" w:themeColor="text1"/>
          <w:szCs w:val="24"/>
          <w:highlight w:val="none"/>
          <w14:textFill>
            <w14:solidFill>
              <w14:schemeClr w14:val="tx1"/>
            </w14:solidFill>
          </w14:textFill>
        </w:rPr>
        <w:t>月</w:t>
      </w:r>
      <w:r>
        <w:rPr>
          <w:rFonts w:hint="eastAsia" w:ascii="仿宋" w:hAnsi="仿宋" w:cs="仿宋"/>
          <w:color w:val="000000" w:themeColor="text1"/>
          <w:szCs w:val="24"/>
          <w:highlight w:val="none"/>
          <w:lang w:val="en-US" w:eastAsia="zh-CN"/>
          <w14:textFill>
            <w14:solidFill>
              <w14:schemeClr w14:val="tx1"/>
            </w14:solidFill>
          </w14:textFill>
        </w:rPr>
        <w:t>22</w:t>
      </w:r>
      <w:r>
        <w:rPr>
          <w:rFonts w:hint="eastAsia" w:ascii="仿宋" w:hAnsi="仿宋" w:cs="仿宋"/>
          <w:color w:val="000000" w:themeColor="text1"/>
          <w:szCs w:val="24"/>
          <w:highlight w:val="none"/>
          <w14:textFill>
            <w14:solidFill>
              <w14:schemeClr w14:val="tx1"/>
            </w14:solidFill>
          </w14:textFill>
        </w:rPr>
        <w:t>日</w:t>
      </w:r>
      <w:r>
        <w:rPr>
          <w:rFonts w:hint="eastAsia" w:ascii="仿宋" w:hAnsi="仿宋" w:cs="仿宋"/>
          <w:color w:val="000000" w:themeColor="text1"/>
          <w:szCs w:val="24"/>
          <w:highlight w:val="none"/>
          <w:lang w:val="en-US" w:eastAsia="zh-CN"/>
          <w14:textFill>
            <w14:solidFill>
              <w14:schemeClr w14:val="tx1"/>
            </w14:solidFill>
          </w14:textFill>
        </w:rPr>
        <w:t>9</w:t>
      </w:r>
      <w:r>
        <w:rPr>
          <w:rFonts w:hint="eastAsia" w:ascii="仿宋" w:hAnsi="仿宋" w:cs="仿宋"/>
          <w:color w:val="000000" w:themeColor="text1"/>
          <w:szCs w:val="24"/>
          <w:highlight w:val="none"/>
          <w14:textFill>
            <w14:solidFill>
              <w14:schemeClr w14:val="tx1"/>
            </w14:solidFill>
          </w14:textFill>
        </w:rPr>
        <w:t>时</w:t>
      </w:r>
      <w:r>
        <w:rPr>
          <w:rFonts w:hint="eastAsia" w:ascii="仿宋" w:hAnsi="仿宋" w:cs="仿宋"/>
          <w:color w:val="000000" w:themeColor="text1"/>
          <w:szCs w:val="24"/>
          <w:highlight w:val="none"/>
          <w:lang w:val="en-US" w:eastAsia="zh-CN"/>
          <w14:textFill>
            <w14:solidFill>
              <w14:schemeClr w14:val="tx1"/>
            </w14:solidFill>
          </w14:textFill>
        </w:rPr>
        <w:t>00</w:t>
      </w:r>
      <w:r>
        <w:rPr>
          <w:rFonts w:hint="eastAsia" w:ascii="仿宋" w:hAnsi="仿宋" w:cs="仿宋"/>
          <w:color w:val="000000" w:themeColor="text1"/>
          <w:szCs w:val="24"/>
          <w:highlight w:val="none"/>
          <w14:textFill>
            <w14:solidFill>
              <w14:schemeClr w14:val="tx1"/>
            </w14:solidFill>
          </w14:textFill>
        </w:rPr>
        <w:t>分。</w:t>
      </w:r>
    </w:p>
    <w:p w14:paraId="33681316">
      <w:pPr>
        <w:numPr>
          <w:ilvl w:val="255"/>
          <w:numId w:val="0"/>
        </w:numPr>
        <w:spacing w:line="360" w:lineRule="auto"/>
        <w:ind w:left="-60" w:leftChars="-25" w:firstLine="480" w:firstLineChars="20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1）在投标文件递交截止时间前，投标人应将加密的电子投标文件通过中国银行投标客户端上传至中银智采平台。投标人未按规定加密的投标文件，中银智采平台将拒收。下文中所指“电子投标文件”均是指上传至中银智采平台的投标文件。</w:t>
      </w:r>
    </w:p>
    <w:p w14:paraId="564D243D">
      <w:pPr>
        <w:keepNext w:val="0"/>
        <w:keepLines w:val="0"/>
        <w:pageBreakBefore w:val="0"/>
        <w:numPr>
          <w:ilvl w:val="0"/>
          <w:numId w:val="10"/>
        </w:numPr>
        <w:kinsoku/>
        <w:wordWrap/>
        <w:overflowPunct/>
        <w:topLinePunct w:val="0"/>
        <w:autoSpaceDE/>
        <w:autoSpaceDN/>
        <w:bidi w:val="0"/>
        <w:adjustRightInd/>
        <w:snapToGrid/>
        <w:spacing w:line="360" w:lineRule="auto"/>
        <w:ind w:left="-60" w:leftChars="-25" w:right="0" w:rightChars="0" w:firstLine="480" w:firstLineChars="200"/>
        <w:jc w:val="left"/>
        <w:textAlignment w:val="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凡通过中银智采平台下载招标文件的投标人，方可通过中国银行投标客户端上传投标文件，上传成功后中银智采平台自动生成的回执时间即为递交成功时间，投标人应保留上传成功回执。投标人应充分考虑投标文件上传所需时间，</w:t>
      </w:r>
      <w:r>
        <w:rPr>
          <w:rFonts w:hint="eastAsia" w:ascii="仿宋" w:hAnsi="仿宋" w:cs="仿宋"/>
          <w:color w:val="000000" w:themeColor="text1"/>
          <w:szCs w:val="24"/>
          <w:highlight w:val="none"/>
          <w:lang w:bidi="ar"/>
          <w14:textFill>
            <w14:solidFill>
              <w14:schemeClr w14:val="tx1"/>
            </w14:solidFill>
          </w14:textFill>
        </w:rPr>
        <w:t>建议投标人在</w:t>
      </w:r>
      <w:r>
        <w:rPr>
          <w:rFonts w:hint="eastAsia" w:ascii="仿宋" w:hAnsi="仿宋" w:cs="仿宋"/>
          <w:color w:val="000000" w:themeColor="text1"/>
          <w:szCs w:val="24"/>
          <w:highlight w:val="none"/>
          <w14:textFill>
            <w14:solidFill>
              <w14:schemeClr w14:val="tx1"/>
            </w14:solidFill>
          </w14:textFill>
        </w:rPr>
        <w:t>中银智采平台技术支持服务时间内（即工作日）提交电子投标文件，如有问题可参考</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供应商投标业务操作手册</w:t>
      </w:r>
      <w:r>
        <w:rPr>
          <w:rFonts w:ascii="仿宋" w:hAnsi="仿宋" w:cs="仿宋"/>
          <w:color w:val="000000" w:themeColor="text1"/>
          <w:szCs w:val="24"/>
          <w:highlight w:val="none"/>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w:t>
      </w:r>
      <w:r>
        <w:rPr>
          <w:rFonts w:ascii="仿宋" w:hAnsi="仿宋" w:cs="仿宋"/>
          <w:color w:val="000000" w:themeColor="text1"/>
          <w:szCs w:val="24"/>
          <w:highlight w:val="none"/>
          <w14:textFill>
            <w14:solidFill>
              <w14:schemeClr w14:val="tx1"/>
            </w14:solidFill>
          </w14:textFill>
        </w:rPr>
        <w:t>或拨打</w:t>
      </w:r>
      <w:r>
        <w:rPr>
          <w:rFonts w:hint="eastAsia" w:ascii="仿宋" w:hAnsi="仿宋" w:cs="仿宋"/>
          <w:color w:val="000000" w:themeColor="text1"/>
          <w:szCs w:val="24"/>
          <w:highlight w:val="none"/>
          <w14:textFill>
            <w14:solidFill>
              <w14:schemeClr w14:val="tx1"/>
            </w14:solidFill>
          </w14:textFill>
        </w:rPr>
        <w:t>技术支持联系电话予以解决</w:t>
      </w:r>
      <w:r>
        <w:rPr>
          <w:rFonts w:hint="eastAsia" w:ascii="仿宋" w:hAnsi="仿宋" w:cs="仿宋"/>
          <w:color w:val="000000" w:themeColor="text1"/>
          <w:szCs w:val="24"/>
          <w:highlight w:val="none"/>
          <w:lang w:bidi="ar"/>
          <w14:textFill>
            <w14:solidFill>
              <w14:schemeClr w14:val="tx1"/>
            </w14:solidFill>
          </w14:textFill>
        </w:rPr>
        <w:t>。未按要求执行的投标人</w:t>
      </w:r>
      <w:r>
        <w:rPr>
          <w:rFonts w:hint="eastAsia" w:ascii="仿宋" w:hAnsi="仿宋" w:cs="仿宋"/>
          <w:color w:val="000000" w:themeColor="text1"/>
          <w:szCs w:val="24"/>
          <w:highlight w:val="none"/>
          <w14:textFill>
            <w14:solidFill>
              <w14:schemeClr w14:val="tx1"/>
            </w14:solidFill>
          </w14:textFill>
        </w:rPr>
        <w:t>自行承担相应责任。</w:t>
      </w:r>
    </w:p>
    <w:p w14:paraId="1F84030E">
      <w:pPr>
        <w:keepNext w:val="0"/>
        <w:keepLines w:val="0"/>
        <w:pageBreakBefore w:val="0"/>
        <w:numPr>
          <w:ilvl w:val="0"/>
          <w:numId w:val="10"/>
        </w:numPr>
        <w:kinsoku/>
        <w:wordWrap/>
        <w:overflowPunct/>
        <w:topLinePunct w:val="0"/>
        <w:autoSpaceDE/>
        <w:autoSpaceDN/>
        <w:bidi w:val="0"/>
        <w:adjustRightInd/>
        <w:snapToGrid/>
        <w:spacing w:line="360" w:lineRule="auto"/>
        <w:ind w:left="-60" w:leftChars="-25" w:right="0" w:rightChars="0" w:firstLine="480" w:firstLineChars="200"/>
        <w:jc w:val="left"/>
        <w:textAlignment w:val="auto"/>
        <w:rPr>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中银智采平台中无投标文件，且不能出示成功递交回执的；或投标文件递交截止时间后送达的电子投标文件，招标人（或招标代理机构）不予受理。</w:t>
      </w:r>
    </w:p>
    <w:p w14:paraId="4A193DE0">
      <w:pPr>
        <w:keepNext w:val="0"/>
        <w:keepLines w:val="0"/>
        <w:pageBreakBefore w:val="0"/>
        <w:numPr>
          <w:ilvl w:val="0"/>
          <w:numId w:val="10"/>
        </w:numPr>
        <w:kinsoku/>
        <w:wordWrap/>
        <w:overflowPunct/>
        <w:topLinePunct w:val="0"/>
        <w:autoSpaceDE/>
        <w:autoSpaceDN/>
        <w:bidi w:val="0"/>
        <w:adjustRightInd/>
        <w:snapToGrid/>
        <w:spacing w:line="360" w:lineRule="auto"/>
        <w:ind w:left="-60" w:leftChars="-25" w:right="0" w:rightChars="0" w:firstLine="480" w:firstLineChars="200"/>
        <w:jc w:val="left"/>
        <w:textAlignment w:val="auto"/>
        <w:rPr>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本项目需要同时递交密封完好的纸质版投标文件，纸质版投标文件递交要求：</w:t>
      </w:r>
    </w:p>
    <w:p w14:paraId="631B306E">
      <w:pPr>
        <w:keepNext w:val="0"/>
        <w:keepLines w:val="0"/>
        <w:pageBreakBefore w:val="0"/>
        <w:widowControl/>
        <w:numPr>
          <w:ilvl w:val="0"/>
          <w:numId w:val="0"/>
        </w:numPr>
        <w:kinsoku/>
        <w:wordWrap/>
        <w:overflowPunct/>
        <w:topLinePunct w:val="0"/>
        <w:autoSpaceDE/>
        <w:autoSpaceDN/>
        <w:bidi w:val="0"/>
        <w:adjustRightInd/>
        <w:snapToGrid/>
        <w:spacing w:line="360" w:lineRule="auto"/>
        <w:ind w:left="-60" w:leftChars="-25" w:right="0" w:rightChars="0" w:firstLine="480" w:firstLineChars="200"/>
        <w:jc w:val="left"/>
        <w:textAlignment w:val="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（1）纸质版投标文件递交时间</w:t>
      </w:r>
      <w:r>
        <w:rPr>
          <w:rFonts w:hint="eastAsia" w:ascii="仿宋" w:hAnsi="仿宋" w:cs="仿宋"/>
          <w:color w:val="000000" w:themeColor="text1"/>
          <w:szCs w:val="24"/>
          <w:highlight w:val="none"/>
          <w14:textFill>
            <w14:solidFill>
              <w14:schemeClr w14:val="tx1"/>
            </w14:solidFill>
          </w14:textFill>
        </w:rPr>
        <w:t>20</w:t>
      </w:r>
      <w:r>
        <w:rPr>
          <w:rFonts w:hint="eastAsia" w:ascii="仿宋" w:hAnsi="仿宋" w:cs="仿宋"/>
          <w:color w:val="000000" w:themeColor="text1"/>
          <w:szCs w:val="24"/>
          <w:highlight w:val="none"/>
          <w:lang w:val="en-US" w:eastAsia="zh-CN"/>
          <w14:textFill>
            <w14:solidFill>
              <w14:schemeClr w14:val="tx1"/>
            </w14:solidFill>
          </w14:textFill>
        </w:rPr>
        <w:t>25</w:t>
      </w:r>
      <w:r>
        <w:rPr>
          <w:rFonts w:hint="eastAsia" w:ascii="仿宋" w:hAnsi="仿宋" w:cs="仿宋"/>
          <w:color w:val="000000" w:themeColor="text1"/>
          <w:szCs w:val="24"/>
          <w:highlight w:val="none"/>
          <w14:textFill>
            <w14:solidFill>
              <w14:schemeClr w14:val="tx1"/>
            </w14:solidFill>
          </w14:textFill>
        </w:rPr>
        <w:t>年</w:t>
      </w:r>
      <w:r>
        <w:rPr>
          <w:rFonts w:hint="eastAsia" w:ascii="仿宋" w:hAnsi="仿宋" w:cs="仿宋"/>
          <w:color w:val="000000" w:themeColor="text1"/>
          <w:szCs w:val="24"/>
          <w:highlight w:val="none"/>
          <w:lang w:val="en-US" w:eastAsia="zh-CN"/>
          <w14:textFill>
            <w14:solidFill>
              <w14:schemeClr w14:val="tx1"/>
            </w14:solidFill>
          </w14:textFill>
        </w:rPr>
        <w:t>8</w:t>
      </w:r>
      <w:r>
        <w:rPr>
          <w:rFonts w:hint="eastAsia" w:ascii="仿宋" w:hAnsi="仿宋" w:cs="仿宋"/>
          <w:color w:val="000000" w:themeColor="text1"/>
          <w:szCs w:val="24"/>
          <w:highlight w:val="none"/>
          <w14:textFill>
            <w14:solidFill>
              <w14:schemeClr w14:val="tx1"/>
            </w14:solidFill>
          </w14:textFill>
        </w:rPr>
        <w:t>月</w:t>
      </w:r>
      <w:r>
        <w:rPr>
          <w:rFonts w:hint="eastAsia" w:ascii="仿宋" w:hAnsi="仿宋" w:cs="仿宋"/>
          <w:color w:val="000000" w:themeColor="text1"/>
          <w:szCs w:val="24"/>
          <w:highlight w:val="none"/>
          <w:lang w:val="en-US" w:eastAsia="zh-CN"/>
          <w14:textFill>
            <w14:solidFill>
              <w14:schemeClr w14:val="tx1"/>
            </w14:solidFill>
          </w14:textFill>
        </w:rPr>
        <w:t>22</w:t>
      </w:r>
      <w:r>
        <w:rPr>
          <w:rFonts w:hint="eastAsia" w:ascii="仿宋" w:hAnsi="仿宋" w:cs="仿宋"/>
          <w:color w:val="000000" w:themeColor="text1"/>
          <w:szCs w:val="24"/>
          <w:highlight w:val="none"/>
          <w14:textFill>
            <w14:solidFill>
              <w14:schemeClr w14:val="tx1"/>
            </w14:solidFill>
          </w14:textFill>
        </w:rPr>
        <w:t>日</w:t>
      </w:r>
      <w:r>
        <w:rPr>
          <w:rFonts w:hint="eastAsia" w:ascii="仿宋" w:hAnsi="仿宋" w:cs="仿宋"/>
          <w:color w:val="000000" w:themeColor="text1"/>
          <w:szCs w:val="24"/>
          <w:highlight w:val="none"/>
          <w:lang w:val="en-US" w:eastAsia="zh-CN"/>
          <w14:textFill>
            <w14:solidFill>
              <w14:schemeClr w14:val="tx1"/>
            </w14:solidFill>
          </w14:textFill>
        </w:rPr>
        <w:t>8</w:t>
      </w:r>
      <w:r>
        <w:rPr>
          <w:rFonts w:hint="eastAsia" w:ascii="仿宋" w:hAnsi="仿宋" w:cs="仿宋"/>
          <w:color w:val="000000" w:themeColor="text1"/>
          <w:szCs w:val="24"/>
          <w:highlight w:val="none"/>
          <w14:textFill>
            <w14:solidFill>
              <w14:schemeClr w14:val="tx1"/>
            </w14:solidFill>
          </w14:textFill>
        </w:rPr>
        <w:t>时</w:t>
      </w:r>
      <w:r>
        <w:rPr>
          <w:rFonts w:hint="eastAsia" w:ascii="仿宋" w:hAnsi="仿宋" w:cs="仿宋"/>
          <w:color w:val="000000" w:themeColor="text1"/>
          <w:szCs w:val="24"/>
          <w:highlight w:val="none"/>
          <w:lang w:val="en-US" w:eastAsia="zh-CN"/>
          <w14:textFill>
            <w14:solidFill>
              <w14:schemeClr w14:val="tx1"/>
            </w14:solidFill>
          </w14:textFill>
        </w:rPr>
        <w:t>30</w:t>
      </w:r>
      <w:r>
        <w:rPr>
          <w:rFonts w:hint="eastAsia" w:ascii="仿宋" w:hAnsi="仿宋" w:cs="仿宋"/>
          <w:color w:val="000000" w:themeColor="text1"/>
          <w:szCs w:val="24"/>
          <w:highlight w:val="none"/>
          <w14:textFill>
            <w14:solidFill>
              <w14:schemeClr w14:val="tx1"/>
            </w14:solidFill>
          </w14:textFill>
        </w:rPr>
        <w:t>分至投标文件递交截止时间。</w:t>
      </w:r>
    </w:p>
    <w:p w14:paraId="1165542D">
      <w:pPr>
        <w:keepNext w:val="0"/>
        <w:keepLines w:val="0"/>
        <w:pageBreakBefore w:val="0"/>
        <w:numPr>
          <w:ilvl w:val="0"/>
          <w:numId w:val="0"/>
        </w:numPr>
        <w:kinsoku/>
        <w:wordWrap/>
        <w:overflowPunct/>
        <w:topLinePunct w:val="0"/>
        <w:autoSpaceDE/>
        <w:autoSpaceDN/>
        <w:bidi w:val="0"/>
        <w:adjustRightInd/>
        <w:snapToGrid/>
        <w:spacing w:line="360" w:lineRule="auto"/>
        <w:ind w:left="-60" w:leftChars="-25" w:right="0" w:rightChars="0" w:firstLine="480" w:firstLineChars="200"/>
        <w:jc w:val="left"/>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（2）</w:t>
      </w:r>
      <w:r>
        <w:rPr>
          <w:rFonts w:hint="eastAsia" w:ascii="仿宋" w:hAnsi="仿宋" w:cs="仿宋"/>
          <w:color w:val="000000" w:themeColor="text1"/>
          <w:szCs w:val="24"/>
          <w:highlight w:val="none"/>
          <w:lang w:bidi="ar"/>
          <w14:textFill>
            <w14:solidFill>
              <w14:schemeClr w14:val="tx1"/>
            </w14:solidFill>
          </w14:textFill>
        </w:rPr>
        <w:t>纸质版投标文件递交地点：青海省西宁市城西区海湖新区同盛路万达广场SOHO2号楼17层</w:t>
      </w:r>
      <w:r>
        <w:rPr>
          <w:rFonts w:hint="eastAsia" w:ascii="仿宋" w:hAnsi="仿宋" w:cs="仿宋"/>
          <w:color w:val="000000" w:themeColor="text1"/>
          <w:szCs w:val="24"/>
          <w:highlight w:val="none"/>
          <w:lang w:val="en-US" w:eastAsia="zh-CN" w:bidi="ar"/>
          <w14:textFill>
            <w14:solidFill>
              <w14:schemeClr w14:val="tx1"/>
            </w14:solidFill>
          </w14:textFill>
        </w:rPr>
        <w:t>11706室</w:t>
      </w:r>
      <w:r>
        <w:rPr>
          <w:rFonts w:hint="eastAsia" w:ascii="仿宋" w:hAnsi="仿宋" w:cs="仿宋"/>
          <w:color w:val="000000" w:themeColor="text1"/>
          <w:szCs w:val="24"/>
          <w:highlight w:val="none"/>
          <w:lang w:bidi="ar"/>
          <w14:textFill>
            <w14:solidFill>
              <w14:schemeClr w14:val="tx1"/>
            </w14:solidFill>
          </w14:textFill>
        </w:rPr>
        <w:t>青海诚容工程项目管理有限责任公司</w:t>
      </w:r>
      <w:r>
        <w:rPr>
          <w:rFonts w:hint="eastAsia" w:ascii="仿宋" w:hAnsi="仿宋" w:cs="仿宋"/>
          <w:color w:val="000000" w:themeColor="text1"/>
          <w:szCs w:val="24"/>
          <w:highlight w:val="none"/>
          <w:lang w:eastAsia="zh-CN" w:bidi="ar"/>
          <w14:textFill>
            <w14:solidFill>
              <w14:schemeClr w14:val="tx1"/>
            </w14:solidFill>
          </w14:textFill>
        </w:rPr>
        <w:t>。</w:t>
      </w:r>
    </w:p>
    <w:p w14:paraId="0A217D6D">
      <w:pPr>
        <w:keepNext w:val="0"/>
        <w:keepLines w:val="0"/>
        <w:pageBreakBefore w:val="0"/>
        <w:kinsoku/>
        <w:wordWrap/>
        <w:overflowPunct/>
        <w:topLinePunct w:val="0"/>
        <w:autoSpaceDE/>
        <w:autoSpaceDN/>
        <w:bidi w:val="0"/>
        <w:adjustRightInd/>
        <w:snapToGrid/>
        <w:spacing w:line="360" w:lineRule="auto"/>
        <w:ind w:left="-60" w:leftChars="-25" w:right="0" w:rightChars="0" w:firstLine="480" w:firstLineChars="200"/>
        <w:jc w:val="left"/>
        <w:textAlignment w:val="auto"/>
        <w:rPr>
          <w:rFonts w:ascii="仿宋" w:hAnsi="仿宋" w:cs="仿宋"/>
          <w:color w:val="000000" w:themeColor="text1"/>
          <w:szCs w:val="24"/>
          <w:highlight w:val="none"/>
          <w:lang w:bidi="ar"/>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（3）若中银智采平台中无投标人电子投标文件，且不能出示成功递交回执的，或投标人在投标文件递交截止时间后送达电子投标文件的，其纸质版投标文件将被拒绝。</w:t>
      </w:r>
    </w:p>
    <w:p w14:paraId="19EE159E">
      <w:pPr>
        <w:keepNext w:val="0"/>
        <w:keepLines w:val="0"/>
        <w:pageBreakBefore w:val="0"/>
        <w:kinsoku/>
        <w:wordWrap/>
        <w:overflowPunct/>
        <w:topLinePunct w:val="0"/>
        <w:autoSpaceDE/>
        <w:autoSpaceDN/>
        <w:bidi w:val="0"/>
        <w:adjustRightInd/>
        <w:snapToGrid/>
        <w:spacing w:line="360" w:lineRule="auto"/>
        <w:ind w:left="-60" w:leftChars="-25" w:right="0" w:rightChars="0" w:firstLine="480" w:firstLineChars="200"/>
        <w:jc w:val="left"/>
        <w:textAlignment w:val="auto"/>
        <w:rPr>
          <w:rFonts w:ascii="仿宋" w:hAnsi="仿宋" w:cs="仿宋"/>
          <w:color w:val="000000" w:themeColor="text1"/>
          <w:szCs w:val="24"/>
          <w:highlight w:val="none"/>
          <w:lang w:bidi="ar"/>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w:t>
      </w:r>
      <w:r>
        <w:rPr>
          <w:rFonts w:ascii="仿宋" w:hAnsi="仿宋" w:cs="仿宋"/>
          <w:color w:val="000000" w:themeColor="text1"/>
          <w:szCs w:val="24"/>
          <w:highlight w:val="none"/>
          <w:lang w:bidi="ar"/>
          <w14:textFill>
            <w14:solidFill>
              <w14:schemeClr w14:val="tx1"/>
            </w14:solidFill>
          </w14:textFill>
        </w:rPr>
        <w:t>4</w:t>
      </w:r>
      <w:r>
        <w:rPr>
          <w:rFonts w:hint="eastAsia" w:ascii="仿宋" w:hAnsi="仿宋" w:cs="仿宋"/>
          <w:color w:val="000000" w:themeColor="text1"/>
          <w:szCs w:val="24"/>
          <w:highlight w:val="none"/>
          <w:lang w:bidi="ar"/>
          <w14:textFill>
            <w14:solidFill>
              <w14:schemeClr w14:val="tx1"/>
            </w14:solidFill>
          </w14:textFill>
        </w:rPr>
        <w:t>）</w:t>
      </w:r>
      <w:r>
        <w:rPr>
          <w:rFonts w:hint="eastAsia" w:ascii="仿宋" w:hAnsi="仿宋" w:cs="仿宋"/>
          <w:color w:val="000000" w:themeColor="text1"/>
          <w:szCs w:val="24"/>
          <w:highlight w:val="none"/>
          <w14:textFill>
            <w14:solidFill>
              <w14:schemeClr w14:val="tx1"/>
            </w14:solidFill>
          </w14:textFill>
        </w:rPr>
        <w:t>除特别约定外，本项目使用电子投标文件开标、评标，</w:t>
      </w:r>
      <w:r>
        <w:rPr>
          <w:rStyle w:val="121"/>
          <w:rFonts w:hint="eastAsia" w:ascii="仿宋" w:hAnsi="仿宋" w:eastAsia="仿宋" w:cs="仿宋"/>
          <w:color w:val="000000" w:themeColor="text1"/>
          <w:sz w:val="24"/>
          <w:szCs w:val="24"/>
          <w:highlight w:val="none"/>
          <w14:textFill>
            <w14:solidFill>
              <w14:schemeClr w14:val="tx1"/>
            </w14:solidFill>
          </w14:textFill>
        </w:rPr>
        <w:t>以电子投标文件为准。</w:t>
      </w:r>
    </w:p>
    <w:p w14:paraId="400D73EB">
      <w:pPr>
        <w:keepNext w:val="0"/>
        <w:keepLines w:val="0"/>
        <w:pageBreakBefore w:val="0"/>
        <w:kinsoku/>
        <w:wordWrap/>
        <w:overflowPunct/>
        <w:topLinePunct w:val="0"/>
        <w:autoSpaceDE/>
        <w:autoSpaceDN/>
        <w:bidi w:val="0"/>
        <w:adjustRightInd/>
        <w:snapToGrid/>
        <w:spacing w:line="360" w:lineRule="auto"/>
        <w:ind w:left="-60" w:leftChars="-25" w:right="0" w:rightChars="0" w:firstLine="480" w:firstLineChars="200"/>
        <w:jc w:val="left"/>
        <w:textAlignment w:val="auto"/>
        <w:rPr>
          <w:rFonts w:ascii="仿宋" w:hAnsi="仿宋" w:cs="仿宋"/>
          <w:color w:val="000000" w:themeColor="text1"/>
          <w:szCs w:val="24"/>
          <w:highlight w:val="none"/>
          <w:lang w:bidi="ar"/>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w:t>
      </w:r>
      <w:r>
        <w:rPr>
          <w:rFonts w:ascii="仿宋" w:hAnsi="仿宋" w:cs="仿宋"/>
          <w:color w:val="000000" w:themeColor="text1"/>
          <w:szCs w:val="24"/>
          <w:highlight w:val="none"/>
          <w:lang w:bidi="ar"/>
          <w14:textFill>
            <w14:solidFill>
              <w14:schemeClr w14:val="tx1"/>
            </w14:solidFill>
          </w14:textFill>
        </w:rPr>
        <w:t>5）</w:t>
      </w:r>
      <w:r>
        <w:rPr>
          <w:rFonts w:hint="eastAsia" w:ascii="仿宋" w:hAnsi="仿宋" w:cs="仿宋"/>
          <w:color w:val="000000" w:themeColor="text1"/>
          <w:szCs w:val="24"/>
          <w:highlight w:val="none"/>
          <w:lang w:bidi="ar"/>
          <w14:textFill>
            <w14:solidFill>
              <w14:schemeClr w14:val="tx1"/>
            </w14:solidFill>
          </w14:textFill>
        </w:rPr>
        <w:t>在以下两种情况下，将使用纸质版投标文件线下开标、评标，以纸质版投标文件为准：</w:t>
      </w:r>
      <w:r>
        <w:rPr>
          <w:rFonts w:ascii="仿宋" w:hAnsi="仿宋" w:cs="仿宋"/>
          <w:color w:val="000000" w:themeColor="text1"/>
          <w:szCs w:val="24"/>
          <w:highlight w:val="none"/>
          <w:lang w:bidi="ar"/>
          <w14:textFill>
            <w14:solidFill>
              <w14:schemeClr w14:val="tx1"/>
            </w14:solidFill>
          </w14:textFill>
        </w:rPr>
        <w:t>1</w:t>
      </w:r>
      <w:r>
        <w:rPr>
          <w:rFonts w:hint="eastAsia" w:ascii="仿宋" w:hAnsi="仿宋" w:cs="仿宋"/>
          <w:color w:val="000000" w:themeColor="text1"/>
          <w:szCs w:val="24"/>
          <w:highlight w:val="none"/>
          <w:lang w:bidi="ar"/>
          <w14:textFill>
            <w14:solidFill>
              <w14:schemeClr w14:val="tx1"/>
            </w14:solidFill>
          </w14:textFill>
        </w:rPr>
        <w:t>）因为系统原因造成任一投标人的电子投标文件解密失败的；2）成功递交电子投标文件的投标人大于</w:t>
      </w:r>
      <w:r>
        <w:rPr>
          <w:rFonts w:hint="eastAsia" w:ascii="仿宋" w:hAnsi="仿宋" w:cs="仿宋"/>
          <w:color w:val="000000" w:themeColor="text1"/>
          <w:szCs w:val="24"/>
          <w:highlight w:val="none"/>
          <w:lang w:val="en-US" w:eastAsia="zh-CN" w:bidi="ar"/>
          <w14:textFill>
            <w14:solidFill>
              <w14:schemeClr w14:val="tx1"/>
            </w14:solidFill>
          </w14:textFill>
        </w:rPr>
        <w:t>15</w:t>
      </w:r>
      <w:r>
        <w:rPr>
          <w:rFonts w:hint="eastAsia" w:ascii="仿宋" w:hAnsi="仿宋" w:cs="仿宋"/>
          <w:color w:val="000000" w:themeColor="text1"/>
          <w:szCs w:val="24"/>
          <w:highlight w:val="none"/>
          <w:lang w:bidi="ar"/>
          <w14:textFill>
            <w14:solidFill>
              <w14:schemeClr w14:val="tx1"/>
            </w14:solidFill>
          </w14:textFill>
        </w:rPr>
        <w:t>家。在上述两种情况下，若投标人未能按要求递交符合规定的纸质版投标文件，投标人的投标将被拒绝。</w:t>
      </w:r>
    </w:p>
    <w:p w14:paraId="6799F76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68" w:name="_Toc27457"/>
      <w:bookmarkStart w:id="69" w:name="_Toc108796137"/>
      <w:bookmarkStart w:id="70" w:name="_Toc4643"/>
      <w:bookmarkStart w:id="71" w:name="_Toc25685"/>
      <w:bookmarkStart w:id="72" w:name="_Toc149230391"/>
      <w:bookmarkStart w:id="73" w:name="_Toc150933575"/>
      <w:r>
        <w:rPr>
          <w:rFonts w:hint="eastAsia" w:ascii="仿宋" w:hAnsi="仿宋" w:eastAsia="仿宋" w:cs="仿宋"/>
          <w:b/>
          <w:bCs/>
          <w:color w:val="000000" w:themeColor="text1"/>
          <w:sz w:val="24"/>
          <w:szCs w:val="24"/>
          <w:highlight w:val="none"/>
          <w14:textFill>
            <w14:solidFill>
              <w14:schemeClr w14:val="tx1"/>
            </w14:solidFill>
          </w14:textFill>
        </w:rPr>
        <w:t>开标（ 开标时间、地点及注意事项）</w:t>
      </w:r>
      <w:bookmarkEnd w:id="68"/>
    </w:p>
    <w:p w14:paraId="525709B2">
      <w:pPr>
        <w:keepNext w:val="0"/>
        <w:keepLines w:val="0"/>
        <w:pageBreakBefore w:val="0"/>
        <w:numPr>
          <w:ilvl w:val="0"/>
          <w:numId w:val="11"/>
        </w:numPr>
        <w:kinsoku/>
        <w:wordWrap/>
        <w:overflowPunct/>
        <w:topLinePunct w:val="0"/>
        <w:autoSpaceDE/>
        <w:autoSpaceDN/>
        <w:bidi w:val="0"/>
        <w:adjustRightInd/>
        <w:snapToGrid/>
        <w:spacing w:line="360" w:lineRule="auto"/>
        <w:ind w:left="-60" w:leftChars="-25" w:right="0" w:rightChars="0" w:firstLine="480" w:firstLineChars="200"/>
        <w:textAlignment w:val="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开标时间：20</w:t>
      </w:r>
      <w:r>
        <w:rPr>
          <w:rFonts w:hint="eastAsia" w:ascii="仿宋" w:hAnsi="仿宋" w:cs="仿宋"/>
          <w:color w:val="000000" w:themeColor="text1"/>
          <w:szCs w:val="24"/>
          <w:highlight w:val="none"/>
          <w:lang w:val="en-US" w:eastAsia="zh-CN"/>
          <w14:textFill>
            <w14:solidFill>
              <w14:schemeClr w14:val="tx1"/>
            </w14:solidFill>
          </w14:textFill>
        </w:rPr>
        <w:t>25</w:t>
      </w:r>
      <w:r>
        <w:rPr>
          <w:rFonts w:hint="eastAsia" w:ascii="仿宋" w:hAnsi="仿宋" w:cs="仿宋"/>
          <w:color w:val="000000" w:themeColor="text1"/>
          <w:szCs w:val="24"/>
          <w:highlight w:val="none"/>
          <w14:textFill>
            <w14:solidFill>
              <w14:schemeClr w14:val="tx1"/>
            </w14:solidFill>
          </w14:textFill>
        </w:rPr>
        <w:t>年</w:t>
      </w:r>
      <w:r>
        <w:rPr>
          <w:rFonts w:hint="eastAsia" w:ascii="仿宋" w:hAnsi="仿宋" w:cs="仿宋"/>
          <w:color w:val="000000" w:themeColor="text1"/>
          <w:szCs w:val="24"/>
          <w:highlight w:val="none"/>
          <w:lang w:val="en-US" w:eastAsia="zh-CN"/>
          <w14:textFill>
            <w14:solidFill>
              <w14:schemeClr w14:val="tx1"/>
            </w14:solidFill>
          </w14:textFill>
        </w:rPr>
        <w:t>8</w:t>
      </w:r>
      <w:r>
        <w:rPr>
          <w:rFonts w:hint="eastAsia" w:ascii="仿宋" w:hAnsi="仿宋" w:cs="仿宋"/>
          <w:color w:val="000000" w:themeColor="text1"/>
          <w:szCs w:val="24"/>
          <w:highlight w:val="none"/>
          <w14:textFill>
            <w14:solidFill>
              <w14:schemeClr w14:val="tx1"/>
            </w14:solidFill>
          </w14:textFill>
        </w:rPr>
        <w:t>月</w:t>
      </w:r>
      <w:r>
        <w:rPr>
          <w:rFonts w:hint="eastAsia" w:ascii="仿宋" w:hAnsi="仿宋" w:cs="仿宋"/>
          <w:color w:val="000000" w:themeColor="text1"/>
          <w:szCs w:val="24"/>
          <w:highlight w:val="none"/>
          <w:lang w:val="en-US" w:eastAsia="zh-CN"/>
          <w14:textFill>
            <w14:solidFill>
              <w14:schemeClr w14:val="tx1"/>
            </w14:solidFill>
          </w14:textFill>
        </w:rPr>
        <w:t>22</w:t>
      </w:r>
      <w:r>
        <w:rPr>
          <w:rFonts w:hint="eastAsia" w:ascii="仿宋" w:hAnsi="仿宋" w:cs="仿宋"/>
          <w:color w:val="000000" w:themeColor="text1"/>
          <w:szCs w:val="24"/>
          <w:highlight w:val="none"/>
          <w14:textFill>
            <w14:solidFill>
              <w14:schemeClr w14:val="tx1"/>
            </w14:solidFill>
          </w14:textFill>
        </w:rPr>
        <w:t>日</w:t>
      </w:r>
      <w:r>
        <w:rPr>
          <w:rFonts w:hint="eastAsia" w:ascii="仿宋" w:hAnsi="仿宋" w:cs="仿宋"/>
          <w:color w:val="000000" w:themeColor="text1"/>
          <w:szCs w:val="24"/>
          <w:highlight w:val="none"/>
          <w:lang w:val="en-US" w:eastAsia="zh-CN"/>
          <w14:textFill>
            <w14:solidFill>
              <w14:schemeClr w14:val="tx1"/>
            </w14:solidFill>
          </w14:textFill>
        </w:rPr>
        <w:t>9</w:t>
      </w:r>
      <w:r>
        <w:rPr>
          <w:rFonts w:hint="eastAsia" w:ascii="仿宋" w:hAnsi="仿宋" w:cs="仿宋"/>
          <w:color w:val="000000" w:themeColor="text1"/>
          <w:szCs w:val="24"/>
          <w:highlight w:val="none"/>
          <w14:textFill>
            <w14:solidFill>
              <w14:schemeClr w14:val="tx1"/>
            </w14:solidFill>
          </w14:textFill>
        </w:rPr>
        <w:t>时</w:t>
      </w:r>
      <w:r>
        <w:rPr>
          <w:rFonts w:hint="eastAsia" w:ascii="仿宋" w:hAnsi="仿宋" w:cs="仿宋"/>
          <w:color w:val="000000" w:themeColor="text1"/>
          <w:szCs w:val="24"/>
          <w:highlight w:val="none"/>
          <w:lang w:val="en-US" w:eastAsia="zh-CN"/>
          <w14:textFill>
            <w14:solidFill>
              <w14:schemeClr w14:val="tx1"/>
            </w14:solidFill>
          </w14:textFill>
        </w:rPr>
        <w:t>00</w:t>
      </w:r>
      <w:r>
        <w:rPr>
          <w:rFonts w:hint="eastAsia" w:ascii="仿宋" w:hAnsi="仿宋" w:cs="仿宋"/>
          <w:color w:val="000000" w:themeColor="text1"/>
          <w:szCs w:val="24"/>
          <w:highlight w:val="none"/>
          <w14:textFill>
            <w14:solidFill>
              <w14:schemeClr w14:val="tx1"/>
            </w14:solidFill>
          </w14:textFill>
        </w:rPr>
        <w:t>分</w:t>
      </w:r>
      <w:r>
        <w:rPr>
          <w:rFonts w:hint="eastAsia" w:ascii="仿宋" w:hAnsi="仿宋" w:cs="仿宋"/>
          <w:color w:val="000000" w:themeColor="text1"/>
          <w:szCs w:val="24"/>
          <w:highlight w:val="none"/>
          <w:lang w:eastAsia="zh-CN"/>
          <w14:textFill>
            <w14:solidFill>
              <w14:schemeClr w14:val="tx1"/>
            </w14:solidFill>
          </w14:textFill>
        </w:rPr>
        <w:t>。</w:t>
      </w:r>
    </w:p>
    <w:p w14:paraId="170AE27F">
      <w:pPr>
        <w:keepNext w:val="0"/>
        <w:keepLines w:val="0"/>
        <w:pageBreakBefore w:val="0"/>
        <w:numPr>
          <w:ilvl w:val="0"/>
          <w:numId w:val="11"/>
        </w:numPr>
        <w:kinsoku/>
        <w:wordWrap/>
        <w:overflowPunct/>
        <w:topLinePunct w:val="0"/>
        <w:autoSpaceDE/>
        <w:autoSpaceDN/>
        <w:bidi w:val="0"/>
        <w:adjustRightInd/>
        <w:snapToGrid/>
        <w:spacing w:line="360" w:lineRule="auto"/>
        <w:ind w:left="-60" w:leftChars="-25" w:right="0" w:rightChars="0" w:firstLine="480" w:firstLineChars="200"/>
        <w:textAlignment w:val="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开标地点：</w:t>
      </w:r>
      <w:r>
        <w:rPr>
          <w:rFonts w:hint="eastAsia" w:ascii="仿宋" w:hAnsi="仿宋" w:cs="仿宋"/>
          <w:color w:val="000000" w:themeColor="text1"/>
          <w:szCs w:val="24"/>
          <w:highlight w:val="none"/>
          <w:lang w:bidi="ar"/>
          <w14:textFill>
            <w14:solidFill>
              <w14:schemeClr w14:val="tx1"/>
            </w14:solidFill>
          </w14:textFill>
        </w:rPr>
        <w:t>青海省西宁市城西区海湖新区同盛路万达广场SOHO2号楼17层</w:t>
      </w:r>
      <w:r>
        <w:rPr>
          <w:rFonts w:hint="eastAsia" w:ascii="仿宋" w:hAnsi="仿宋" w:cs="仿宋"/>
          <w:color w:val="000000" w:themeColor="text1"/>
          <w:szCs w:val="24"/>
          <w:highlight w:val="none"/>
          <w:lang w:val="en-US" w:eastAsia="zh-CN" w:bidi="ar"/>
          <w14:textFill>
            <w14:solidFill>
              <w14:schemeClr w14:val="tx1"/>
            </w14:solidFill>
          </w14:textFill>
        </w:rPr>
        <w:t>11706室</w:t>
      </w:r>
      <w:r>
        <w:rPr>
          <w:rFonts w:hint="eastAsia" w:ascii="仿宋" w:hAnsi="仿宋" w:cs="仿宋"/>
          <w:color w:val="000000" w:themeColor="text1"/>
          <w:szCs w:val="24"/>
          <w:highlight w:val="none"/>
          <w:lang w:bidi="ar"/>
          <w14:textFill>
            <w14:solidFill>
              <w14:schemeClr w14:val="tx1"/>
            </w14:solidFill>
          </w14:textFill>
        </w:rPr>
        <w:t>青海诚容工程项目管理有限责任公司</w:t>
      </w:r>
      <w:r>
        <w:rPr>
          <w:rFonts w:hint="eastAsia" w:ascii="仿宋" w:hAnsi="仿宋" w:cs="仿宋"/>
          <w:color w:val="000000" w:themeColor="text1"/>
          <w:szCs w:val="24"/>
          <w:highlight w:val="none"/>
          <w:lang w:eastAsia="zh-CN" w:bidi="ar"/>
          <w14:textFill>
            <w14:solidFill>
              <w14:schemeClr w14:val="tx1"/>
            </w14:solidFill>
          </w14:textFill>
        </w:rPr>
        <w:t>。</w:t>
      </w:r>
    </w:p>
    <w:p w14:paraId="4C4F9063">
      <w:pPr>
        <w:keepNext w:val="0"/>
        <w:keepLines w:val="0"/>
        <w:pageBreakBefore w:val="0"/>
        <w:numPr>
          <w:ilvl w:val="0"/>
          <w:numId w:val="11"/>
        </w:numPr>
        <w:kinsoku/>
        <w:wordWrap/>
        <w:overflowPunct/>
        <w:topLinePunct w:val="0"/>
        <w:autoSpaceDE/>
        <w:autoSpaceDN/>
        <w:bidi w:val="0"/>
        <w:adjustRightInd/>
        <w:snapToGrid/>
        <w:spacing w:line="360" w:lineRule="auto"/>
        <w:ind w:left="-60" w:leftChars="-25" w:right="0" w:rightChars="0" w:firstLine="480" w:firstLineChars="200"/>
        <w:textAlignment w:val="auto"/>
        <w:rPr>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除特别约定外，本项目使用电子投标文件开标、评标。开标会开始后，招标代理机构将通过中银智采平台发起投标文件解密，投标人须在规定解密时间内（</w:t>
      </w:r>
      <w:r>
        <w:rPr>
          <w:rFonts w:hint="eastAsia" w:ascii="仿宋" w:hAnsi="仿宋" w:cs="仿宋"/>
          <w:color w:val="000000" w:themeColor="text1"/>
          <w:szCs w:val="24"/>
          <w:highlight w:val="none"/>
          <w:lang w:val="en-US" w:eastAsia="zh-CN"/>
          <w14:textFill>
            <w14:solidFill>
              <w14:schemeClr w14:val="tx1"/>
            </w14:solidFill>
          </w14:textFill>
        </w:rPr>
        <w:t>60</w:t>
      </w:r>
      <w:r>
        <w:rPr>
          <w:rFonts w:hint="eastAsia" w:ascii="仿宋" w:hAnsi="仿宋" w:cs="仿宋"/>
          <w:color w:val="000000" w:themeColor="text1"/>
          <w:szCs w:val="24"/>
          <w:highlight w:val="none"/>
          <w14:textFill>
            <w14:solidFill>
              <w14:schemeClr w14:val="tx1"/>
            </w14:solidFill>
          </w14:textFill>
        </w:rPr>
        <w:t>分钟），通过CA证书或解密秘钥完成投标文件的解密。因投标人原因造成投标文件未解密的，视为撤销其投标文件；投标人的法定代表人或者其委托的代理人须在开标后尽快解密。</w:t>
      </w:r>
    </w:p>
    <w:p w14:paraId="1409D93F">
      <w:pPr>
        <w:keepNext w:val="0"/>
        <w:keepLines w:val="0"/>
        <w:pageBreakBefore w:val="0"/>
        <w:numPr>
          <w:ilvl w:val="0"/>
          <w:numId w:val="11"/>
        </w:numPr>
        <w:kinsoku/>
        <w:wordWrap/>
        <w:overflowPunct/>
        <w:topLinePunct w:val="0"/>
        <w:autoSpaceDE/>
        <w:autoSpaceDN/>
        <w:bidi w:val="0"/>
        <w:adjustRightInd/>
        <w:snapToGrid/>
        <w:spacing w:line="360" w:lineRule="auto"/>
        <w:ind w:left="-60" w:leftChars="-25" w:right="0" w:rightChars="0" w:firstLine="480" w:firstLineChars="200"/>
        <w:textAlignment w:val="auto"/>
        <w:rPr>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所使用的电脑须下载谷歌浏览器、中国银行投标客户端等相应插件。解密时使用的电脑需要和加密电脑为同一台电脑，如若更换电脑，需要进行CA证书补发流程，或使用解密秘钥方式解密。建议投标文件加密和解密使用同一台电脑。如因电脑问题以及其他非系统故障原因导致投标文件解密失败，投标人自行承担相应责任。</w:t>
      </w:r>
    </w:p>
    <w:p w14:paraId="1BDD426D">
      <w:pPr>
        <w:spacing w:line="360" w:lineRule="auto"/>
        <w:ind w:firstLine="480" w:firstLineChars="2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转线下开标、评标的规则：在以下两种情况下，将使用纸质版投标文件线下开标、评标：1）因为系统原因造成任一投标人的电子投标文件解密失败的；2）成功递交电子投标文件的投标人大于15家。</w:t>
      </w:r>
    </w:p>
    <w:bookmarkEnd w:id="69"/>
    <w:bookmarkEnd w:id="70"/>
    <w:bookmarkEnd w:id="71"/>
    <w:bookmarkEnd w:id="72"/>
    <w:bookmarkEnd w:id="73"/>
    <w:p w14:paraId="4640AB46">
      <w:pPr>
        <w:numPr>
          <w:ilvl w:val="0"/>
          <w:numId w:val="3"/>
        </w:numPr>
        <w:spacing w:line="360" w:lineRule="auto"/>
        <w:outlineLvl w:val="1"/>
        <w:rPr>
          <w:rFonts w:ascii="仿宋" w:hAnsi="仿宋" w:cs="仿宋"/>
          <w:b/>
          <w:bCs/>
          <w:color w:val="000000" w:themeColor="text1"/>
          <w:highlight w:val="none"/>
          <w14:textFill>
            <w14:solidFill>
              <w14:schemeClr w14:val="tx1"/>
            </w14:solidFill>
          </w14:textFill>
        </w:rPr>
      </w:pPr>
      <w:bookmarkStart w:id="74" w:name="_Toc28045"/>
      <w:bookmarkStart w:id="75" w:name="_Toc149230392"/>
      <w:bookmarkStart w:id="76" w:name="_Toc150933576"/>
      <w:r>
        <w:rPr>
          <w:rFonts w:hint="eastAsia" w:ascii="仿宋" w:hAnsi="仿宋" w:cs="仿宋"/>
          <w:b/>
          <w:bCs/>
          <w:color w:val="000000" w:themeColor="text1"/>
          <w:highlight w:val="none"/>
          <w14:textFill>
            <w14:solidFill>
              <w14:schemeClr w14:val="tx1"/>
            </w14:solidFill>
          </w14:textFill>
        </w:rPr>
        <w:t>监督举报方式：</w:t>
      </w:r>
      <w:bookmarkEnd w:id="74"/>
    </w:p>
    <w:p w14:paraId="4C30A121">
      <w:pPr>
        <w:spacing w:line="360" w:lineRule="auto"/>
        <w:ind w:firstLine="480" w:firstLineChars="200"/>
        <w:rPr>
          <w:rFonts w:hint="eastAsia" w:ascii="仿宋" w:hAnsi="仿宋" w:cs="仿宋"/>
          <w:color w:val="000000" w:themeColor="text1"/>
          <w:szCs w:val="24"/>
          <w:highlight w:val="none"/>
          <w:lang w:bidi="ar"/>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投标人与招标人在接触及合作过程中，如遇招标人部门或员工的违法、违纪、违规等问题，可向招标人纪委办公室反映和举报。招标人保护举报人的合法权益，严肃处理打击报复的行为。</w:t>
      </w:r>
    </w:p>
    <w:p w14:paraId="5E96DC18">
      <w:pPr>
        <w:spacing w:line="360" w:lineRule="auto"/>
        <w:ind w:firstLine="480" w:firstLineChars="200"/>
        <w:rPr>
          <w:rFonts w:hint="eastAsia" w:ascii="仿宋" w:hAnsi="仿宋" w:cs="仿宋"/>
          <w:color w:val="000000" w:themeColor="text1"/>
          <w:szCs w:val="24"/>
          <w:highlight w:val="none"/>
          <w:lang w:bidi="ar"/>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举报电话：0971-4911603、4911563</w:t>
      </w:r>
    </w:p>
    <w:p w14:paraId="3A534589">
      <w:pPr>
        <w:spacing w:line="360" w:lineRule="auto"/>
        <w:ind w:firstLine="480" w:firstLineChars="200"/>
        <w:rPr>
          <w:rFonts w:hint="eastAsia" w:ascii="仿宋" w:hAnsi="仿宋" w:cs="仿宋"/>
          <w:color w:val="000000" w:themeColor="text1"/>
          <w:szCs w:val="24"/>
          <w:highlight w:val="none"/>
          <w:lang w:bidi="ar"/>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举报邮箱：jiweiban_qh@bank-of-china.com</w:t>
      </w:r>
    </w:p>
    <w:p w14:paraId="69370E78">
      <w:pPr>
        <w:spacing w:line="360" w:lineRule="auto"/>
        <w:ind w:firstLine="480" w:firstLineChars="200"/>
        <w:rPr>
          <w:rFonts w:hint="eastAsia" w:ascii="仿宋" w:hAnsi="仿宋" w:cs="仿宋"/>
          <w:color w:val="000000" w:themeColor="text1"/>
          <w:szCs w:val="24"/>
          <w:highlight w:val="none"/>
          <w:lang w:bidi="ar"/>
          <w14:textFill>
            <w14:solidFill>
              <w14:schemeClr w14:val="tx1"/>
            </w14:solidFill>
          </w14:textFill>
        </w:rPr>
      </w:pPr>
      <w:r>
        <w:rPr>
          <w:rFonts w:hint="eastAsia" w:ascii="仿宋" w:hAnsi="仿宋" w:cs="仿宋"/>
          <w:color w:val="000000" w:themeColor="text1"/>
          <w:szCs w:val="24"/>
          <w:highlight w:val="none"/>
          <w:lang w:bidi="ar"/>
          <w14:textFill>
            <w14:solidFill>
              <w14:schemeClr w14:val="tx1"/>
            </w14:solidFill>
          </w14:textFill>
        </w:rPr>
        <w:t>信函地址：青海省西宁市城西区五四西路61号新华联国际中心B栋写字楼21楼中国银行青海省分行纪委办公室</w:t>
      </w:r>
    </w:p>
    <w:p w14:paraId="6EB2B57D">
      <w:pPr>
        <w:numPr>
          <w:ilvl w:val="0"/>
          <w:numId w:val="3"/>
        </w:numPr>
        <w:spacing w:line="360" w:lineRule="auto"/>
        <w:outlineLvl w:val="1"/>
        <w:rPr>
          <w:rFonts w:ascii="仿宋" w:hAnsi="仿宋" w:cs="仿宋"/>
          <w:b/>
          <w:color w:val="000000" w:themeColor="text1"/>
          <w:highlight w:val="none"/>
          <w14:textFill>
            <w14:solidFill>
              <w14:schemeClr w14:val="tx1"/>
            </w14:solidFill>
          </w14:textFill>
        </w:rPr>
      </w:pPr>
      <w:bookmarkStart w:id="77" w:name="_Toc8066"/>
      <w:r>
        <w:rPr>
          <w:rFonts w:hint="eastAsia" w:ascii="仿宋" w:hAnsi="仿宋" w:cs="仿宋"/>
          <w:b/>
          <w:bCs/>
          <w:color w:val="000000" w:themeColor="text1"/>
          <w:highlight w:val="none"/>
          <w14:textFill>
            <w14:solidFill>
              <w14:schemeClr w14:val="tx1"/>
            </w14:solidFill>
          </w14:textFill>
        </w:rPr>
        <w:t>其他：</w:t>
      </w:r>
      <w:bookmarkEnd w:id="75"/>
      <w:bookmarkEnd w:id="76"/>
      <w:bookmarkEnd w:id="77"/>
    </w:p>
    <w:p w14:paraId="55CBE712">
      <w:pPr>
        <w:spacing w:line="360" w:lineRule="auto"/>
        <w:ind w:firstLine="480" w:firstLineChars="2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本项目不属于依法必须进行招标的项目，也不属于政府采购项目，为招标人自行采购的项目。 </w:t>
      </w:r>
    </w:p>
    <w:p w14:paraId="19A0AC6E">
      <w:pPr>
        <w:numPr>
          <w:ilvl w:val="0"/>
          <w:numId w:val="3"/>
        </w:numPr>
        <w:spacing w:line="360" w:lineRule="auto"/>
        <w:outlineLvl w:val="1"/>
        <w:rPr>
          <w:rFonts w:ascii="仿宋" w:hAnsi="仿宋" w:cs="仿宋"/>
          <w:b/>
          <w:color w:val="000000" w:themeColor="text1"/>
          <w:highlight w:val="none"/>
          <w14:textFill>
            <w14:solidFill>
              <w14:schemeClr w14:val="tx1"/>
            </w14:solidFill>
          </w14:textFill>
        </w:rPr>
      </w:pPr>
      <w:bookmarkStart w:id="78" w:name="_Toc11523"/>
      <w:r>
        <w:rPr>
          <w:rFonts w:ascii="仿宋" w:hAnsi="仿宋"/>
          <w:b/>
          <w:color w:val="000000" w:themeColor="text1"/>
          <w:highlight w:val="none"/>
          <w14:textFill>
            <w14:solidFill>
              <w14:schemeClr w14:val="tx1"/>
            </w14:solidFill>
          </w14:textFill>
        </w:rPr>
        <w:t>联系方式</w:t>
      </w:r>
      <w:r>
        <w:rPr>
          <w:rFonts w:hint="eastAsia" w:ascii="仿宋" w:hAnsi="仿宋"/>
          <w:b/>
          <w:color w:val="000000" w:themeColor="text1"/>
          <w:highlight w:val="none"/>
          <w14:textFill>
            <w14:solidFill>
              <w14:schemeClr w14:val="tx1"/>
            </w14:solidFill>
          </w14:textFill>
        </w:rPr>
        <w:t>：</w:t>
      </w:r>
      <w:bookmarkEnd w:id="78"/>
    </w:p>
    <w:p w14:paraId="720D3E06">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招标代理机构名称：青海诚容工程项目管理有限责任公司</w:t>
      </w:r>
    </w:p>
    <w:p w14:paraId="3A779D58">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地    址：青海省西宁市城西区海湖新区同盛路万达广场SOHO2号楼17层</w:t>
      </w:r>
    </w:p>
    <w:p w14:paraId="5A790F1B">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邮    编：810000</w:t>
      </w:r>
    </w:p>
    <w:p w14:paraId="4BB7CBD7">
      <w:pPr>
        <w:spacing w:line="360" w:lineRule="auto"/>
        <w:ind w:firstLine="480" w:firstLineChars="200"/>
        <w:rPr>
          <w:rFonts w:hint="eastAsia" w:ascii="仿宋" w:hAnsi="仿宋" w:eastAsia="仿宋" w:cs="仿宋"/>
          <w:iCs/>
          <w:color w:val="000000" w:themeColor="text1"/>
          <w:highlight w:val="none"/>
          <w:lang w:val="en-US" w:eastAsia="zh-CN"/>
          <w14:textFill>
            <w14:solidFill>
              <w14:schemeClr w14:val="tx1"/>
            </w14:solidFill>
          </w14:textFill>
        </w:rPr>
      </w:pPr>
      <w:r>
        <w:rPr>
          <w:rFonts w:hint="eastAsia" w:ascii="仿宋" w:hAnsi="仿宋" w:cs="仿宋"/>
          <w:iCs/>
          <w:color w:val="000000" w:themeColor="text1"/>
          <w:highlight w:val="none"/>
          <w14:textFill>
            <w14:solidFill>
              <w14:schemeClr w14:val="tx1"/>
            </w14:solidFill>
          </w14:textFill>
        </w:rPr>
        <w:t>联 系 人：</w:t>
      </w:r>
      <w:r>
        <w:rPr>
          <w:rFonts w:hint="eastAsia" w:ascii="仿宋" w:hAnsi="仿宋" w:cs="仿宋"/>
          <w:iCs/>
          <w:color w:val="000000" w:themeColor="text1"/>
          <w:highlight w:val="none"/>
          <w:lang w:val="en-US" w:eastAsia="zh-CN"/>
          <w14:textFill>
            <w14:solidFill>
              <w14:schemeClr w14:val="tx1"/>
            </w14:solidFill>
          </w14:textFill>
        </w:rPr>
        <w:t>纪女士</w:t>
      </w:r>
    </w:p>
    <w:p w14:paraId="171E6F14">
      <w:pPr>
        <w:spacing w:line="360" w:lineRule="auto"/>
        <w:ind w:firstLine="480" w:firstLineChars="200"/>
        <w:rPr>
          <w:rFonts w:ascii="仿宋" w:hAnsi="仿宋" w:cs="仿宋"/>
          <w:iCs/>
          <w:color w:val="000000" w:themeColor="text1"/>
          <w:highlight w:val="none"/>
          <w14:textFill>
            <w14:solidFill>
              <w14:schemeClr w14:val="tx1"/>
            </w14:solidFill>
          </w14:textFill>
        </w:rPr>
      </w:pPr>
      <w:r>
        <w:rPr>
          <w:rFonts w:hint="eastAsia" w:ascii="仿宋" w:hAnsi="仿宋" w:cs="仿宋"/>
          <w:iCs/>
          <w:color w:val="000000" w:themeColor="text1"/>
          <w:highlight w:val="none"/>
          <w14:textFill>
            <w14:solidFill>
              <w14:schemeClr w14:val="tx1"/>
            </w14:solidFill>
          </w14:textFill>
        </w:rPr>
        <w:t>联系方式：0971-6243698</w:t>
      </w:r>
    </w:p>
    <w:p w14:paraId="54BEF40E">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电子函件：</w:t>
      </w:r>
      <w:r>
        <w:rPr>
          <w:rFonts w:hint="eastAsia" w:ascii="仿宋" w:hAnsi="仿宋" w:cs="仿宋"/>
          <w:color w:val="000000" w:themeColor="text1"/>
          <w:highlight w:val="none"/>
          <w14:textFill>
            <w14:solidFill>
              <w14:schemeClr w14:val="tx1"/>
            </w14:solidFill>
          </w14:textFill>
        </w:rPr>
        <w:fldChar w:fldCharType="begin"/>
      </w:r>
      <w:r>
        <w:rPr>
          <w:rFonts w:hint="eastAsia" w:ascii="仿宋" w:hAnsi="仿宋" w:cs="仿宋"/>
          <w:color w:val="000000" w:themeColor="text1"/>
          <w:highlight w:val="none"/>
          <w14:textFill>
            <w14:solidFill>
              <w14:schemeClr w14:val="tx1"/>
            </w14:solidFill>
          </w14:textFill>
        </w:rPr>
        <w:instrText xml:space="preserve">HYPERLINK "mailto:QHCRZB@163.COM" </w:instrText>
      </w:r>
      <w:r>
        <w:rPr>
          <w:rFonts w:hint="eastAsia" w:ascii="仿宋" w:hAnsi="仿宋" w:cs="仿宋"/>
          <w:color w:val="000000" w:themeColor="text1"/>
          <w:highlight w:val="none"/>
          <w14:textFill>
            <w14:solidFill>
              <w14:schemeClr w14:val="tx1"/>
            </w14:solidFill>
          </w14:textFill>
        </w:rPr>
        <w:fldChar w:fldCharType="separate"/>
      </w:r>
      <w:r>
        <w:rPr>
          <w:rFonts w:hint="eastAsia" w:ascii="仿宋" w:hAnsi="仿宋" w:cs="仿宋"/>
          <w:color w:val="000000" w:themeColor="text1"/>
          <w:highlight w:val="none"/>
          <w14:textFill>
            <w14:solidFill>
              <w14:schemeClr w14:val="tx1"/>
            </w14:solidFill>
          </w14:textFill>
        </w:rPr>
        <w:t>QHCRZB@163.COM</w:t>
      </w:r>
      <w:r>
        <w:rPr>
          <w:rFonts w:hint="eastAsia" w:ascii="仿宋" w:hAnsi="仿宋" w:cs="仿宋"/>
          <w:color w:val="000000" w:themeColor="text1"/>
          <w:highlight w:val="none"/>
          <w14:textFill>
            <w14:solidFill>
              <w14:schemeClr w14:val="tx1"/>
            </w14:solidFill>
          </w14:textFill>
        </w:rPr>
        <w:fldChar w:fldCharType="end"/>
      </w:r>
      <w:r>
        <w:rPr>
          <w:rFonts w:hint="eastAsia" w:ascii="仿宋" w:hAnsi="仿宋" w:cs="仿宋"/>
          <w:color w:val="000000" w:themeColor="text1"/>
          <w:highlight w:val="none"/>
          <w14:textFill>
            <w14:solidFill>
              <w14:schemeClr w14:val="tx1"/>
            </w14:solidFill>
          </w14:textFill>
        </w:rPr>
        <w:t xml:space="preserve"> </w:t>
      </w:r>
    </w:p>
    <w:p w14:paraId="1960007D">
      <w:pPr>
        <w:widowControl/>
        <w:spacing w:line="360" w:lineRule="auto"/>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br w:type="page"/>
      </w:r>
      <w:bookmarkStart w:id="79" w:name="_Toc441"/>
      <w:bookmarkStart w:id="80" w:name="_Toc17185"/>
      <w:bookmarkStart w:id="81" w:name="_Toc32461"/>
      <w:bookmarkStart w:id="82" w:name="_Toc30392"/>
      <w:bookmarkStart w:id="83" w:name="_Toc24299"/>
      <w:bookmarkStart w:id="84" w:name="_Toc149230401"/>
      <w:bookmarkStart w:id="85" w:name="_Toc150933593"/>
      <w:bookmarkStart w:id="86" w:name="_Toc19511"/>
      <w:bookmarkStart w:id="87" w:name="_Toc16181"/>
      <w:bookmarkStart w:id="88" w:name="_Toc14048"/>
      <w:bookmarkStart w:id="89" w:name="_Toc5777"/>
      <w:bookmarkStart w:id="90" w:name="_Toc30468"/>
      <w:bookmarkStart w:id="91" w:name="_Toc26433"/>
    </w:p>
    <w:p w14:paraId="77F987B9">
      <w:pPr>
        <w:spacing w:line="360" w:lineRule="auto"/>
        <w:ind w:firstLine="482" w:firstLineChars="200"/>
        <w:jc w:val="center"/>
        <w:rPr>
          <w:rFonts w:ascii="仿宋" w:hAnsi="仿宋" w:cs="仿宋"/>
          <w:b/>
          <w:color w:val="000000" w:themeColor="text1"/>
          <w:highlight w:val="none"/>
          <w14:textFill>
            <w14:solidFill>
              <w14:schemeClr w14:val="tx1"/>
            </w14:solidFill>
          </w14:textFill>
        </w:rPr>
      </w:pPr>
      <w:r>
        <w:rPr>
          <w:rFonts w:ascii="仿宋" w:hAnsi="仿宋" w:cs="仿宋"/>
          <w:b/>
          <w:color w:val="000000" w:themeColor="text1"/>
          <w:highlight w:val="none"/>
          <w14:textFill>
            <w14:solidFill>
              <w14:schemeClr w14:val="tx1"/>
            </w14:solidFill>
          </w14:textFill>
        </w:rPr>
        <w:t>特别说明</w:t>
      </w:r>
    </w:p>
    <w:p w14:paraId="2F7BF4E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一、投标人在制作纸质版投标文件时，本文件内容全部适用。</w:t>
      </w:r>
    </w:p>
    <w:p w14:paraId="26EF400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二、投标人在制作通过中国银行客户端上传至中银智采平台的标书时，本文件的如下内容进行修改，对应投标人须知前附表内容同改：</w:t>
      </w:r>
    </w:p>
    <w:p w14:paraId="4F56260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（一）第二部分 投标人须知前附表及投标人须知</w:t>
      </w:r>
    </w:p>
    <w:p w14:paraId="65783AD8">
      <w:pPr>
        <w:ind w:firstLine="240" w:firstLineChars="100"/>
        <w:rPr>
          <w:rFonts w:ascii="仿宋" w:hAnsi="仿宋"/>
          <w:color w:val="000000" w:themeColor="text1"/>
          <w:highlight w:val="none"/>
          <w14:textFill>
            <w14:solidFill>
              <w14:schemeClr w14:val="tx1"/>
            </w14:solidFill>
          </w14:textFill>
        </w:rPr>
      </w:pPr>
      <w:r>
        <w:rPr>
          <w:rFonts w:ascii="仿宋" w:hAnsi="仿宋"/>
          <w:color w:val="000000" w:themeColor="text1"/>
          <w:highlight w:val="none"/>
          <w14:textFill>
            <w14:solidFill>
              <w14:schemeClr w14:val="tx1"/>
            </w14:solidFill>
          </w14:textFill>
        </w:rPr>
        <w:t>1</w:t>
      </w:r>
      <w:r>
        <w:rPr>
          <w:rFonts w:hint="eastAsia" w:ascii="仿宋" w:hAnsi="仿宋"/>
          <w:color w:val="000000" w:themeColor="text1"/>
          <w:highlight w:val="none"/>
          <w14:textFill>
            <w14:solidFill>
              <w14:schemeClr w14:val="tx1"/>
            </w14:solidFill>
          </w14:textFill>
        </w:rPr>
        <w:t>.第4.</w:t>
      </w:r>
      <w:r>
        <w:rPr>
          <w:rFonts w:ascii="仿宋" w:hAnsi="仿宋"/>
          <w:color w:val="000000" w:themeColor="text1"/>
          <w:highlight w:val="none"/>
          <w14:textFill>
            <w14:solidFill>
              <w14:schemeClr w14:val="tx1"/>
            </w14:solidFill>
          </w14:textFill>
        </w:rPr>
        <w:t>1条款，修改为“</w:t>
      </w:r>
      <w:r>
        <w:rPr>
          <w:rFonts w:hint="eastAsia" w:ascii="仿宋" w:hAnsi="仿宋"/>
          <w:color w:val="000000" w:themeColor="text1"/>
          <w:highlight w:val="none"/>
          <w14:textFill>
            <w14:solidFill>
              <w14:schemeClr w14:val="tx1"/>
            </w14:solidFill>
          </w14:textFill>
        </w:rPr>
        <w:t>任何要求对招标文件进行澄清的投标人，均应按第</w:t>
      </w:r>
      <w:r>
        <w:rPr>
          <w:rFonts w:ascii="仿宋" w:hAnsi="仿宋"/>
          <w:color w:val="000000" w:themeColor="text1"/>
          <w:highlight w:val="none"/>
          <w14:textFill>
            <w14:solidFill>
              <w14:schemeClr w14:val="tx1"/>
            </w14:solidFill>
          </w14:textFill>
        </w:rPr>
        <w:t>13条规定的递交投标文件截止期十五（15）天前以书面形式通知招标人。招标人认为有必要的，在投标文件递交截止期日前以书面形式答复每一投标人（答复中不包括问题的来源），招标人对资格预审文件、招标文件进行澄清或者修改的，将通过中银智采平台公告澄清或者修改的内容</w:t>
      </w:r>
      <w:r>
        <w:rPr>
          <w:rFonts w:hint="eastAsia" w:ascii="仿宋" w:hAnsi="仿宋"/>
          <w:color w:val="000000" w:themeColor="text1"/>
          <w:highlight w:val="none"/>
          <w14:textFill>
            <w14:solidFill>
              <w14:schemeClr w14:val="tx1"/>
            </w14:solidFill>
          </w14:textFill>
        </w:rPr>
        <w:t>。</w:t>
      </w:r>
      <w:r>
        <w:rPr>
          <w:rFonts w:ascii="仿宋" w:hAnsi="仿宋"/>
          <w:color w:val="000000" w:themeColor="text1"/>
          <w:highlight w:val="none"/>
          <w14:textFill>
            <w14:solidFill>
              <w14:schemeClr w14:val="tx1"/>
            </w14:solidFill>
          </w14:textFill>
        </w:rPr>
        <w:t>”</w:t>
      </w:r>
    </w:p>
    <w:p w14:paraId="6F46CE75">
      <w:pPr>
        <w:pStyle w:val="2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ascii="仿宋" w:hAnsi="仿宋"/>
          <w:color w:val="000000" w:themeColor="text1"/>
          <w:highlight w:val="none"/>
          <w14:textFill>
            <w14:solidFill>
              <w14:schemeClr w14:val="tx1"/>
            </w14:solidFill>
          </w14:textFill>
        </w:rPr>
        <w:t>2</w:t>
      </w:r>
      <w:r>
        <w:rPr>
          <w:rFonts w:hint="eastAsia" w:ascii="仿宋" w:hAnsi="仿宋"/>
          <w:color w:val="000000" w:themeColor="text1"/>
          <w:highlight w:val="none"/>
          <w14:textFill>
            <w14:solidFill>
              <w14:schemeClr w14:val="tx1"/>
            </w14:solidFill>
          </w14:textFill>
        </w:rPr>
        <w:t>.第</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条款，修改为“招标文件的修改应以书面形式通知所有购买招标文件的投标人，并对其具有约束力，投标人在收到上述通知后，应立即向招标人或招标代理回复确认。招标文件进行澄清或者修改的，将通过中银智采平台公告澄清或者修改的内容。”</w:t>
      </w:r>
    </w:p>
    <w:p w14:paraId="6D15AF29">
      <w:pPr>
        <w:ind w:firstLine="240" w:firstLineChars="100"/>
        <w:rPr>
          <w:rFonts w:ascii="仿宋" w:hAnsi="仿宋"/>
          <w:color w:val="000000" w:themeColor="text1"/>
          <w:highlight w:val="none"/>
          <w14:textFill>
            <w14:solidFill>
              <w14:schemeClr w14:val="tx1"/>
            </w14:solidFill>
          </w14:textFill>
        </w:rPr>
      </w:pPr>
      <w:r>
        <w:rPr>
          <w:rFonts w:ascii="仿宋" w:hAnsi="仿宋"/>
          <w:color w:val="000000" w:themeColor="text1"/>
          <w:highlight w:val="none"/>
          <w14:textFill>
            <w14:solidFill>
              <w14:schemeClr w14:val="tx1"/>
            </w14:solidFill>
          </w14:textFill>
        </w:rPr>
        <w:t>3</w:t>
      </w:r>
      <w:r>
        <w:rPr>
          <w:rFonts w:hint="eastAsia" w:ascii="仿宋" w:hAnsi="仿宋"/>
          <w:color w:val="000000" w:themeColor="text1"/>
          <w:highlight w:val="none"/>
          <w14:textFill>
            <w14:solidFill>
              <w14:schemeClr w14:val="tx1"/>
            </w14:solidFill>
          </w14:textFill>
        </w:rPr>
        <w:t>.</w:t>
      </w:r>
      <w:r>
        <w:rPr>
          <w:rFonts w:ascii="仿宋" w:hAnsi="仿宋"/>
          <w:color w:val="000000" w:themeColor="text1"/>
          <w:highlight w:val="none"/>
          <w14:textFill>
            <w14:solidFill>
              <w14:schemeClr w14:val="tx1"/>
            </w14:solidFill>
          </w14:textFill>
        </w:rPr>
        <w:t>第</w:t>
      </w:r>
      <w:r>
        <w:rPr>
          <w:rFonts w:hint="eastAsia" w:ascii="仿宋" w:hAnsi="仿宋"/>
          <w:color w:val="000000" w:themeColor="text1"/>
          <w:highlight w:val="none"/>
          <w14:textFill>
            <w14:solidFill>
              <w14:schemeClr w14:val="tx1"/>
            </w14:solidFill>
          </w14:textFill>
        </w:rPr>
        <w:t>7.1（1）③款，修改为“③按照本须知第10条规定提交的投标保证金。”</w:t>
      </w:r>
    </w:p>
    <w:p w14:paraId="016A7465">
      <w:pPr>
        <w:pStyle w:val="2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4.第</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5款，修改为“</w:t>
      </w:r>
      <w:r>
        <w:rPr>
          <w:rFonts w:hint="eastAsia"/>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投标文件的修改。投标人在递交投标文件后，在规定的递交投标文件截止时间之前，可以修改其投标文件。在递交投标文件截止时间之后，投标人不得对其投标文件做任何修改。</w:t>
      </w:r>
      <w:r>
        <w:rPr>
          <w:color w:val="000000" w:themeColor="text1"/>
          <w:highlight w:val="none"/>
          <w14:textFill>
            <w14:solidFill>
              <w14:schemeClr w14:val="tx1"/>
            </w14:solidFill>
          </w14:textFill>
        </w:rPr>
        <w:t>”</w:t>
      </w:r>
    </w:p>
    <w:p w14:paraId="18C669AC">
      <w:pPr>
        <w:pStyle w:val="2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5</w:t>
      </w:r>
      <w:r>
        <w:rPr>
          <w:rFonts w:hint="eastAsia"/>
          <w:color w:val="000000" w:themeColor="text1"/>
          <w:highlight w:val="none"/>
          <w14:textFill>
            <w14:solidFill>
              <w14:schemeClr w14:val="tx1"/>
            </w14:solidFill>
          </w14:textFill>
        </w:rPr>
        <w:t>.第16.3款，修改为“除特别约定外，本项目使用电子投标文件开标、评标。开标会开始后，招标代理机构将通过中银智采平台发起投标文件解密，投标人须在规定解密时间内（</w:t>
      </w:r>
      <w:r>
        <w:rPr>
          <w:color w:val="000000" w:themeColor="text1"/>
          <w:highlight w:val="none"/>
          <w14:textFill>
            <w14:solidFill>
              <w14:schemeClr w14:val="tx1"/>
            </w14:solidFill>
          </w14:textFill>
        </w:rPr>
        <w:t>XX</w:t>
      </w:r>
      <w:r>
        <w:rPr>
          <w:rFonts w:hint="eastAsia"/>
          <w:color w:val="000000" w:themeColor="text1"/>
          <w:highlight w:val="none"/>
          <w14:textFill>
            <w14:solidFill>
              <w14:schemeClr w14:val="tx1"/>
            </w14:solidFill>
          </w14:textFill>
        </w:rPr>
        <w:t>分钟），通过</w:t>
      </w:r>
      <w:r>
        <w:rPr>
          <w:color w:val="000000" w:themeColor="text1"/>
          <w:highlight w:val="none"/>
          <w14:textFill>
            <w14:solidFill>
              <w14:schemeClr w14:val="tx1"/>
            </w14:solidFill>
          </w14:textFill>
        </w:rPr>
        <w:t>CA</w:t>
      </w:r>
      <w:r>
        <w:rPr>
          <w:rFonts w:hint="eastAsia"/>
          <w:color w:val="000000" w:themeColor="text1"/>
          <w:highlight w:val="none"/>
          <w14:textFill>
            <w14:solidFill>
              <w14:schemeClr w14:val="tx1"/>
            </w14:solidFill>
          </w14:textFill>
        </w:rPr>
        <w:t>证书或解密秘钥完成投标文件的解密。解密全部完成后，向所有解密成功的投标人公布“开标一览表”的各项内容。如未提交投标保证金（包括投标保证金不符合第 10条规定），评标委员会将宣布该投标文件无效。</w:t>
      </w:r>
      <w:r>
        <w:rPr>
          <w:color w:val="000000" w:themeColor="text1"/>
          <w:highlight w:val="none"/>
          <w14:textFill>
            <w14:solidFill>
              <w14:schemeClr w14:val="tx1"/>
            </w14:solidFill>
          </w14:textFill>
        </w:rPr>
        <w:t>”</w:t>
      </w:r>
    </w:p>
    <w:p w14:paraId="187F4E07">
      <w:pPr>
        <w:pStyle w:val="2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6.第16.5款，修改为“</w:t>
      </w:r>
      <w:r>
        <w:rPr>
          <w:rFonts w:hint="eastAsia"/>
          <w:color w:val="000000" w:themeColor="text1"/>
          <w:highlight w:val="none"/>
          <w14:textFill>
            <w14:solidFill>
              <w14:schemeClr w14:val="tx1"/>
            </w14:solidFill>
          </w14:textFill>
        </w:rPr>
        <w:t>招标人或招标代理将做开标记录，开标记录包括按第16.</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条规定在开标时向所有解密成功的投标人公布的全部内容</w:t>
      </w:r>
      <w:r>
        <w:rPr>
          <w:color w:val="000000" w:themeColor="text1"/>
          <w:highlight w:val="none"/>
          <w14:textFill>
            <w14:solidFill>
              <w14:schemeClr w14:val="tx1"/>
            </w14:solidFill>
          </w14:textFill>
        </w:rPr>
        <w:t>。”</w:t>
      </w:r>
    </w:p>
    <w:p w14:paraId="4B89CB07">
      <w:pPr>
        <w:pStyle w:val="2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7.第</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8.3款，修改为“接</w:t>
      </w:r>
      <w:r>
        <w:rPr>
          <w:rFonts w:hint="eastAsia"/>
          <w:color w:val="000000" w:themeColor="text1"/>
          <w:highlight w:val="none"/>
          <w14:textFill>
            <w14:solidFill>
              <w14:schemeClr w14:val="tx1"/>
            </w14:solidFill>
          </w14:textFill>
        </w:rPr>
        <w:t>到评标委员会澄清要求的投标人应派人按评标委员会通知的时间和地点做出书面澄清，书面澄清的内容作为投标文件的补充部分。</w:t>
      </w:r>
      <w:r>
        <w:rPr>
          <w:color w:val="000000" w:themeColor="text1"/>
          <w:highlight w:val="none"/>
          <w14:textFill>
            <w14:solidFill>
              <w14:schemeClr w14:val="tx1"/>
            </w14:solidFill>
          </w14:textFill>
        </w:rPr>
        <w:t>”</w:t>
      </w:r>
    </w:p>
    <w:p w14:paraId="356CC7D9">
      <w:pPr>
        <w:pStyle w:val="2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8.</w:t>
      </w:r>
      <w:r>
        <w:rPr>
          <w:rFonts w:hint="eastAsia"/>
          <w:color w:val="000000" w:themeColor="text1"/>
          <w:highlight w:val="none"/>
          <w14:textFill>
            <w14:solidFill>
              <w14:schemeClr w14:val="tx1"/>
            </w14:solidFill>
          </w14:textFill>
        </w:rPr>
        <w:t>第1</w:t>
      </w:r>
      <w:r>
        <w:rPr>
          <w:color w:val="000000" w:themeColor="text1"/>
          <w:highlight w:val="none"/>
          <w14:textFill>
            <w14:solidFill>
              <w14:schemeClr w14:val="tx1"/>
            </w14:solidFill>
          </w14:textFill>
        </w:rPr>
        <w:t>9款，删除所有“当众宣读”表述。</w:t>
      </w:r>
    </w:p>
    <w:p w14:paraId="4F916176">
      <w:pPr>
        <w:pStyle w:val="2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（二）第六部分</w:t>
      </w:r>
      <w:r>
        <w:rPr>
          <w:rFonts w:hint="eastAsia"/>
          <w:color w:val="000000" w:themeColor="text1"/>
          <w:highlight w:val="none"/>
          <w14:textFill>
            <w14:solidFill>
              <w14:schemeClr w14:val="tx1"/>
            </w14:solidFill>
          </w14:textFill>
        </w:rPr>
        <w:t xml:space="preserve"> 附件</w:t>
      </w:r>
    </w:p>
    <w:p w14:paraId="1E5FBEEC">
      <w:pPr>
        <w:pStyle w:val="2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1.除“附件5-2、</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-1和</w:t>
      </w: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”外，删除附件中所有签署</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/签章</w:t>
      </w:r>
      <w:r>
        <w:rPr>
          <w:color w:val="000000" w:themeColor="text1"/>
          <w:highlight w:val="none"/>
          <w14:textFill>
            <w14:solidFill>
              <w14:schemeClr w14:val="tx1"/>
            </w14:solidFill>
          </w14:textFill>
        </w:rPr>
        <w:t>内容。</w:t>
      </w:r>
    </w:p>
    <w:p w14:paraId="0751AFA2">
      <w:pPr>
        <w:pStyle w:val="2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2.附件</w:t>
      </w:r>
      <w:r>
        <w:rPr>
          <w:rFonts w:hint="eastAsia"/>
          <w:color w:val="000000" w:themeColor="text1"/>
          <w:highlight w:val="none"/>
          <w14:textFill>
            <w14:solidFill>
              <w14:schemeClr w14:val="tx1"/>
            </w14:solidFill>
          </w14:textFill>
        </w:rPr>
        <w:t>1第</w:t>
      </w:r>
      <w:r>
        <w:rPr>
          <w:color w:val="000000" w:themeColor="text1"/>
          <w:highlight w:val="none"/>
          <w14:textFill>
            <w14:solidFill>
              <w14:schemeClr w14:val="tx1"/>
            </w14:solidFill>
          </w14:textFill>
        </w:rPr>
        <w:t>1.修改为“</w:t>
      </w:r>
      <w:r>
        <w:rPr>
          <w:rFonts w:hint="eastAsia"/>
          <w:color w:val="000000" w:themeColor="text1"/>
          <w:highlight w:val="none"/>
          <w14:textFill>
            <w14:solidFill>
              <w14:schemeClr w14:val="tx1"/>
            </w14:solidFill>
          </w14:textFill>
        </w:rPr>
        <w:t>提供投标人须知规定的全部投标文件。</w:t>
      </w:r>
      <w:r>
        <w:rPr>
          <w:color w:val="000000" w:themeColor="text1"/>
          <w:highlight w:val="none"/>
          <w14:textFill>
            <w14:solidFill>
              <w14:schemeClr w14:val="tx1"/>
            </w14:solidFill>
          </w14:textFill>
        </w:rPr>
        <w:t>”</w:t>
      </w:r>
    </w:p>
    <w:p w14:paraId="181B4C1E">
      <w:pPr>
        <w:pStyle w:val="27"/>
        <w:ind w:firstLine="240" w:firstLineChars="1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3.附件</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删除 注：第1款。</w:t>
      </w:r>
    </w:p>
    <w:p w14:paraId="38BAE6C0">
      <w:pPr>
        <w:pStyle w:val="2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4.附件</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-3【如适用】、</w:t>
      </w: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4【如适用】，请将纸质原件扫描后，编制在投标文件电子版对应位置。</w:t>
      </w:r>
    </w:p>
    <w:p w14:paraId="06E5ED4B">
      <w:pPr>
        <w:pStyle w:val="27"/>
        <w:ind w:firstLine="240" w:firstLineChars="100"/>
        <w:rPr>
          <w:rFonts w:ascii="仿宋" w:hAnsi="仿宋"/>
          <w:color w:val="000000" w:themeColor="text1"/>
          <w:szCs w:val="24"/>
          <w:highlight w:val="none"/>
          <w14:textFill>
            <w14:solidFill>
              <w14:schemeClr w14:val="tx1"/>
            </w14:solidFill>
          </w14:textFill>
        </w:rPr>
      </w:pPr>
      <w:r>
        <w:rPr>
          <w:rFonts w:ascii="仿宋" w:hAnsi="仿宋"/>
          <w:color w:val="000000" w:themeColor="text1"/>
          <w:szCs w:val="24"/>
          <w:highlight w:val="none"/>
          <w14:textFill>
            <w14:solidFill>
              <w14:schemeClr w14:val="tx1"/>
            </w14:solidFill>
          </w14:textFill>
        </w:rPr>
        <w:t>5</w:t>
      </w:r>
      <w:r>
        <w:rPr>
          <w:rFonts w:hint="eastAsia" w:ascii="仿宋" w:hAnsi="仿宋"/>
          <w:color w:val="000000" w:themeColor="text1"/>
          <w:szCs w:val="24"/>
          <w:highlight w:val="none"/>
          <w14:textFill>
            <w14:solidFill>
              <w14:schemeClr w14:val="tx1"/>
            </w14:solidFill>
          </w14:textFill>
        </w:rPr>
        <w:t>.附件6-</w:t>
      </w:r>
      <w:r>
        <w:rPr>
          <w:rFonts w:ascii="仿宋" w:hAnsi="仿宋"/>
          <w:color w:val="000000" w:themeColor="text1"/>
          <w:szCs w:val="24"/>
          <w:highlight w:val="none"/>
          <w14:textFill>
            <w14:solidFill>
              <w14:schemeClr w14:val="tx1"/>
            </w14:solidFill>
          </w14:textFill>
        </w:rPr>
        <w:t>4</w:t>
      </w:r>
      <w:r>
        <w:rPr>
          <w:rFonts w:hint="eastAsia" w:ascii="仿宋" w:hAnsi="仿宋"/>
          <w:color w:val="000000" w:themeColor="text1"/>
          <w:szCs w:val="24"/>
          <w:highlight w:val="none"/>
          <w14:textFill>
            <w14:solidFill>
              <w14:schemeClr w14:val="tx1"/>
            </w14:solidFill>
          </w14:textFill>
        </w:rPr>
        <w:t>【如适用】注3.修改为“投标人需按照表格的顺序编制业绩证明文件，无业绩证明文件的业绩不予认可，编制文件中合同顺序须与表中所列项目顺序一致”。</w:t>
      </w:r>
    </w:p>
    <w:p w14:paraId="1433697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三、投标人在制作通过中国银行投标客户端上传至中银智采平台的标书时，如下条款不适用，对应投标人须知前附表内容同改：</w:t>
      </w:r>
    </w:p>
    <w:p w14:paraId="2151CCA5">
      <w:pPr>
        <w:pStyle w:val="2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第二部分 投标人须知前附表及投标人须知</w:t>
      </w:r>
    </w:p>
    <w:p w14:paraId="33E2C3E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8.1、12、1</w:t>
      </w:r>
      <w:r>
        <w:rPr>
          <w:color w:val="000000" w:themeColor="text1"/>
          <w:highlight w:val="none"/>
          <w14:textFill>
            <w14:solidFill>
              <w14:schemeClr w14:val="tx1"/>
            </w14:solidFill>
          </w14:textFill>
        </w:rPr>
        <w:t>5.1、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5.2、</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5.3、</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5.4、</w:t>
      </w:r>
      <w:r>
        <w:rPr>
          <w:rFonts w:hint="eastAsia"/>
          <w:color w:val="000000" w:themeColor="text1"/>
          <w:highlight w:val="none"/>
          <w14:textFill>
            <w14:solidFill>
              <w14:schemeClr w14:val="tx1"/>
            </w14:solidFill>
          </w14:textFill>
        </w:rPr>
        <w:t>16.2、1</w:t>
      </w:r>
      <w:r>
        <w:rPr>
          <w:color w:val="000000" w:themeColor="text1"/>
          <w:highlight w:val="none"/>
          <w14:textFill>
            <w14:solidFill>
              <w14:schemeClr w14:val="tx1"/>
            </w14:solidFill>
          </w14:textFill>
        </w:rPr>
        <w:t>6.4</w:t>
      </w:r>
    </w:p>
    <w:p w14:paraId="4BBA7FA7">
      <w:pPr>
        <w:pStyle w:val="3"/>
        <w:spacing w:line="578" w:lineRule="auto"/>
        <w:jc w:val="center"/>
        <w:rPr>
          <w:rFonts w:ascii="仿宋" w:hAnsi="仿宋" w:cs="仿宋"/>
          <w:color w:val="000000" w:themeColor="text1"/>
          <w:sz w:val="24"/>
          <w:szCs w:val="24"/>
          <w:highlight w:val="none"/>
          <w14:textFill>
            <w14:solidFill>
              <w14:schemeClr w14:val="tx1"/>
            </w14:solidFill>
          </w14:textFill>
        </w:rPr>
      </w:pPr>
      <w:bookmarkStart w:id="92" w:name="_Toc28816"/>
      <w:r>
        <w:rPr>
          <w:rFonts w:hint="eastAsia" w:ascii="仿宋" w:hAnsi="仿宋" w:cs="仿宋"/>
          <w:color w:val="000000" w:themeColor="text1"/>
          <w:sz w:val="24"/>
          <w:szCs w:val="24"/>
          <w:highlight w:val="none"/>
          <w14:textFill>
            <w14:solidFill>
              <w14:schemeClr w14:val="tx1"/>
            </w14:solidFill>
          </w14:textFill>
        </w:rPr>
        <w:t>第二部分 投标人须知前附表及</w:t>
      </w:r>
      <w:bookmarkEnd w:id="79"/>
      <w:bookmarkEnd w:id="80"/>
      <w:bookmarkEnd w:id="81"/>
      <w:bookmarkEnd w:id="82"/>
      <w:bookmarkEnd w:id="83"/>
      <w:bookmarkStart w:id="93" w:name="_Toc28516"/>
      <w:bookmarkStart w:id="94" w:name="_Toc20570"/>
      <w:bookmarkStart w:id="95" w:name="_Toc21232"/>
      <w:bookmarkStart w:id="96" w:name="_Toc23481"/>
      <w:bookmarkStart w:id="97" w:name="_Toc1860849487"/>
      <w:bookmarkStart w:id="98" w:name="_Toc28810"/>
      <w:r>
        <w:rPr>
          <w:rFonts w:hint="eastAsia" w:ascii="仿宋" w:hAnsi="仿宋" w:cs="仿宋"/>
          <w:color w:val="000000" w:themeColor="text1"/>
          <w:sz w:val="24"/>
          <w:szCs w:val="24"/>
          <w:highlight w:val="none"/>
          <w14:textFill>
            <w14:solidFill>
              <w14:schemeClr w14:val="tx1"/>
            </w14:solidFill>
          </w14:textFill>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EF93D5A">
      <w:pPr>
        <w:pStyle w:val="4"/>
        <w:spacing w:line="360" w:lineRule="auto"/>
        <w:jc w:val="center"/>
        <w:rPr>
          <w:rFonts w:ascii="仿宋" w:hAnsi="仿宋" w:eastAsia="仿宋" w:cs="仿宋"/>
          <w:color w:val="000000" w:themeColor="text1"/>
          <w:kern w:val="44"/>
          <w:sz w:val="24"/>
          <w:szCs w:val="24"/>
          <w:highlight w:val="none"/>
          <w14:textFill>
            <w14:solidFill>
              <w14:schemeClr w14:val="tx1"/>
            </w14:solidFill>
          </w14:textFill>
        </w:rPr>
      </w:pPr>
      <w:r>
        <w:rPr>
          <w:rFonts w:hint="eastAsia" w:ascii="仿宋" w:hAnsi="仿宋" w:eastAsia="仿宋" w:cs="仿宋"/>
          <w:color w:val="000000" w:themeColor="text1"/>
          <w:sz w:val="72"/>
          <w:szCs w:val="72"/>
          <w:highlight w:val="none"/>
          <w14:textFill>
            <w14:solidFill>
              <w14:schemeClr w14:val="tx1"/>
            </w14:solidFill>
          </w14:textFill>
        </w:rPr>
        <w:br w:type="page"/>
      </w:r>
      <w:bookmarkStart w:id="99" w:name="_Toc8660"/>
      <w:bookmarkStart w:id="100" w:name="_Toc957"/>
      <w:bookmarkStart w:id="101" w:name="_Toc9039"/>
      <w:bookmarkStart w:id="102" w:name="_Toc28965"/>
      <w:bookmarkStart w:id="103" w:name="_Toc10932"/>
      <w:bookmarkStart w:id="104" w:name="_Toc39"/>
      <w:bookmarkStart w:id="105" w:name="_Toc4715"/>
      <w:bookmarkStart w:id="106" w:name="_Toc4966"/>
      <w:bookmarkStart w:id="107" w:name="_Toc14685"/>
      <w:bookmarkStart w:id="108" w:name="_Toc108796146"/>
      <w:bookmarkStart w:id="109" w:name="_Toc1492976748"/>
      <w:bookmarkStart w:id="110" w:name="_Toc20306"/>
      <w:bookmarkStart w:id="111" w:name="_Toc7975"/>
      <w:bookmarkStart w:id="112" w:name="_Toc4874"/>
      <w:bookmarkStart w:id="113" w:name="_Toc150933594"/>
      <w:bookmarkStart w:id="114" w:name="_Toc1114"/>
      <w:bookmarkStart w:id="115" w:name="_Toc149230402"/>
      <w:r>
        <w:rPr>
          <w:rFonts w:hint="eastAsia" w:ascii="仿宋" w:hAnsi="仿宋" w:eastAsia="仿宋" w:cs="仿宋"/>
          <w:color w:val="000000" w:themeColor="text1"/>
          <w:kern w:val="44"/>
          <w:sz w:val="24"/>
          <w:szCs w:val="24"/>
          <w:highlight w:val="none"/>
          <w14:textFill>
            <w14:solidFill>
              <w14:schemeClr w14:val="tx1"/>
            </w14:solidFill>
          </w14:textFill>
        </w:rPr>
        <w:t>投标人须知前附表</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3A4E962">
      <w:pP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本表是对投标人须知的具体补充和修改，如有矛盾，均以本资料表为准。标记“■”的选项意为适用于本项目，标记“□”的选项意为不适用于本项目。</w:t>
      </w:r>
    </w:p>
    <w:tbl>
      <w:tblPr>
        <w:tblStyle w:val="3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45"/>
        <w:gridCol w:w="1778"/>
        <w:gridCol w:w="4933"/>
      </w:tblGrid>
      <w:tr w14:paraId="194C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2D9788D7">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序号</w:t>
            </w:r>
          </w:p>
        </w:tc>
        <w:tc>
          <w:tcPr>
            <w:tcW w:w="945" w:type="dxa"/>
            <w:tcBorders>
              <w:top w:val="single" w:color="auto" w:sz="4" w:space="0"/>
              <w:left w:val="nil"/>
              <w:bottom w:val="single" w:color="auto" w:sz="4" w:space="0"/>
              <w:right w:val="single" w:color="auto" w:sz="4" w:space="0"/>
            </w:tcBorders>
            <w:vAlign w:val="center"/>
          </w:tcPr>
          <w:p w14:paraId="07745697">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条款号</w:t>
            </w:r>
          </w:p>
        </w:tc>
        <w:tc>
          <w:tcPr>
            <w:tcW w:w="1778" w:type="dxa"/>
            <w:tcBorders>
              <w:top w:val="single" w:color="auto" w:sz="4" w:space="0"/>
              <w:left w:val="nil"/>
              <w:bottom w:val="single" w:color="auto" w:sz="4" w:space="0"/>
              <w:right w:val="single" w:color="auto" w:sz="4" w:space="0"/>
            </w:tcBorders>
          </w:tcPr>
          <w:p w14:paraId="594F9B03">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内容</w:t>
            </w:r>
          </w:p>
        </w:tc>
        <w:tc>
          <w:tcPr>
            <w:tcW w:w="4933" w:type="dxa"/>
            <w:tcBorders>
              <w:top w:val="single" w:color="auto" w:sz="4" w:space="0"/>
              <w:left w:val="nil"/>
              <w:bottom w:val="single" w:color="auto" w:sz="4" w:space="0"/>
              <w:right w:val="single" w:color="auto" w:sz="4" w:space="0"/>
            </w:tcBorders>
          </w:tcPr>
          <w:p w14:paraId="567CE25A">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说明与要求</w:t>
            </w:r>
          </w:p>
        </w:tc>
      </w:tr>
      <w:tr w14:paraId="1CA5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6E45509">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w:t>
            </w:r>
          </w:p>
        </w:tc>
        <w:tc>
          <w:tcPr>
            <w:tcW w:w="945" w:type="dxa"/>
            <w:tcBorders>
              <w:top w:val="single" w:color="auto" w:sz="4" w:space="0"/>
              <w:left w:val="nil"/>
              <w:bottom w:val="single" w:color="auto" w:sz="4" w:space="0"/>
              <w:right w:val="single" w:color="auto" w:sz="4" w:space="0"/>
            </w:tcBorders>
            <w:vAlign w:val="center"/>
          </w:tcPr>
          <w:p w14:paraId="372A0E5E">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1.1</w:t>
            </w:r>
          </w:p>
        </w:tc>
        <w:tc>
          <w:tcPr>
            <w:tcW w:w="1778" w:type="dxa"/>
            <w:tcBorders>
              <w:top w:val="single" w:color="auto" w:sz="4" w:space="0"/>
              <w:left w:val="nil"/>
              <w:bottom w:val="single" w:color="auto" w:sz="4" w:space="0"/>
              <w:right w:val="single" w:color="auto" w:sz="4" w:space="0"/>
            </w:tcBorders>
          </w:tcPr>
          <w:p w14:paraId="561DA41D">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w:t>
            </w:r>
          </w:p>
        </w:tc>
        <w:tc>
          <w:tcPr>
            <w:tcW w:w="4933" w:type="dxa"/>
            <w:tcBorders>
              <w:top w:val="single" w:color="auto" w:sz="4" w:space="0"/>
              <w:left w:val="nil"/>
              <w:bottom w:val="single" w:color="auto" w:sz="4" w:space="0"/>
              <w:right w:val="single" w:color="auto" w:sz="4" w:space="0"/>
            </w:tcBorders>
          </w:tcPr>
          <w:p w14:paraId="3C9DF952">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中国银行股份有限公司</w:t>
            </w:r>
            <w:r>
              <w:rPr>
                <w:rFonts w:hint="eastAsia" w:ascii="仿宋" w:hAnsi="仿宋" w:cs="仿宋"/>
                <w:color w:val="000000" w:themeColor="text1"/>
                <w:highlight w:val="none"/>
                <w:lang w:eastAsia="zh-CN"/>
                <w14:textFill>
                  <w14:solidFill>
                    <w14:schemeClr w14:val="tx1"/>
                  </w14:solidFill>
                </w14:textFill>
              </w:rPr>
              <w:t>青海省分行</w:t>
            </w:r>
            <w:r>
              <w:rPr>
                <w:rFonts w:hint="eastAsia" w:ascii="仿宋" w:hAnsi="仿宋" w:cs="仿宋"/>
                <w:color w:val="000000" w:themeColor="text1"/>
                <w:highlight w:val="none"/>
                <w14:textFill>
                  <w14:solidFill>
                    <w14:schemeClr w14:val="tx1"/>
                  </w14:solidFill>
                </w14:textFill>
              </w:rPr>
              <w:t>，以下简称“招标人”</w:t>
            </w:r>
          </w:p>
        </w:tc>
      </w:tr>
      <w:tr w14:paraId="1DB6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7D0DEC80">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w:t>
            </w:r>
          </w:p>
        </w:tc>
        <w:tc>
          <w:tcPr>
            <w:tcW w:w="945" w:type="dxa"/>
            <w:tcBorders>
              <w:top w:val="single" w:color="auto" w:sz="4" w:space="0"/>
              <w:left w:val="nil"/>
              <w:bottom w:val="single" w:color="auto" w:sz="4" w:space="0"/>
              <w:right w:val="single" w:color="auto" w:sz="4" w:space="0"/>
            </w:tcBorders>
            <w:vAlign w:val="center"/>
          </w:tcPr>
          <w:p w14:paraId="11D70A26">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1.2</w:t>
            </w:r>
          </w:p>
        </w:tc>
        <w:tc>
          <w:tcPr>
            <w:tcW w:w="1778" w:type="dxa"/>
            <w:tcBorders>
              <w:top w:val="single" w:color="auto" w:sz="4" w:space="0"/>
              <w:left w:val="nil"/>
              <w:bottom w:val="single" w:color="auto" w:sz="4" w:space="0"/>
              <w:right w:val="single" w:color="auto" w:sz="4" w:space="0"/>
            </w:tcBorders>
          </w:tcPr>
          <w:p w14:paraId="3F876B77">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招标代理机构</w:t>
            </w:r>
          </w:p>
        </w:tc>
        <w:tc>
          <w:tcPr>
            <w:tcW w:w="4933" w:type="dxa"/>
            <w:tcBorders>
              <w:top w:val="single" w:color="auto" w:sz="4" w:space="0"/>
              <w:left w:val="nil"/>
              <w:bottom w:val="single" w:color="auto" w:sz="4" w:space="0"/>
              <w:right w:val="single" w:color="auto" w:sz="4" w:space="0"/>
            </w:tcBorders>
          </w:tcPr>
          <w:p w14:paraId="506ABB44">
            <w:pP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青海诚容工程项目管理有限责任公司，以下简称“招标代理机构”</w:t>
            </w:r>
          </w:p>
        </w:tc>
      </w:tr>
      <w:tr w14:paraId="38C8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595AAE29">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3</w:t>
            </w:r>
          </w:p>
        </w:tc>
        <w:tc>
          <w:tcPr>
            <w:tcW w:w="945" w:type="dxa"/>
            <w:tcBorders>
              <w:top w:val="single" w:color="auto" w:sz="4" w:space="0"/>
              <w:left w:val="nil"/>
              <w:bottom w:val="single" w:color="auto" w:sz="4" w:space="0"/>
              <w:right w:val="single" w:color="auto" w:sz="4" w:space="0"/>
            </w:tcBorders>
            <w:vAlign w:val="center"/>
          </w:tcPr>
          <w:p w14:paraId="0FC37018">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1.3 </w:t>
            </w:r>
          </w:p>
        </w:tc>
        <w:tc>
          <w:tcPr>
            <w:tcW w:w="1778" w:type="dxa"/>
            <w:tcBorders>
              <w:top w:val="single" w:color="auto" w:sz="4" w:space="0"/>
              <w:left w:val="nil"/>
              <w:bottom w:val="single" w:color="auto" w:sz="4" w:space="0"/>
              <w:right w:val="single" w:color="auto" w:sz="4" w:space="0"/>
            </w:tcBorders>
            <w:vAlign w:val="center"/>
          </w:tcPr>
          <w:p w14:paraId="52560EBF">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合格的投标人的基本资质要求</w:t>
            </w:r>
          </w:p>
        </w:tc>
        <w:tc>
          <w:tcPr>
            <w:tcW w:w="4933" w:type="dxa"/>
            <w:tcBorders>
              <w:top w:val="single" w:color="auto" w:sz="4" w:space="0"/>
              <w:left w:val="nil"/>
              <w:bottom w:val="single" w:color="auto" w:sz="4" w:space="0"/>
              <w:right w:val="single" w:color="auto" w:sz="4" w:space="0"/>
            </w:tcBorders>
          </w:tcPr>
          <w:p w14:paraId="68966C3D">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见招标文件第一章《招标公告</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投标邀请函》</w:t>
            </w:r>
          </w:p>
        </w:tc>
      </w:tr>
      <w:tr w14:paraId="2E55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5C0BC99F">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4</w:t>
            </w:r>
          </w:p>
        </w:tc>
        <w:tc>
          <w:tcPr>
            <w:tcW w:w="945" w:type="dxa"/>
            <w:tcBorders>
              <w:top w:val="single" w:color="auto" w:sz="4" w:space="0"/>
              <w:left w:val="nil"/>
              <w:bottom w:val="single" w:color="auto" w:sz="4" w:space="0"/>
              <w:right w:val="single" w:color="auto" w:sz="4" w:space="0"/>
            </w:tcBorders>
            <w:vAlign w:val="center"/>
          </w:tcPr>
          <w:p w14:paraId="4204D58B">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1.4</w:t>
            </w:r>
          </w:p>
        </w:tc>
        <w:tc>
          <w:tcPr>
            <w:tcW w:w="1778" w:type="dxa"/>
            <w:tcBorders>
              <w:top w:val="single" w:color="auto" w:sz="4" w:space="0"/>
              <w:left w:val="nil"/>
              <w:bottom w:val="single" w:color="auto" w:sz="4" w:space="0"/>
              <w:right w:val="single" w:color="auto" w:sz="4" w:space="0"/>
            </w:tcBorders>
            <w:vAlign w:val="center"/>
          </w:tcPr>
          <w:p w14:paraId="2D9606C5">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保密</w:t>
            </w:r>
          </w:p>
        </w:tc>
        <w:tc>
          <w:tcPr>
            <w:tcW w:w="4933" w:type="dxa"/>
            <w:tcBorders>
              <w:top w:val="single" w:color="auto" w:sz="4" w:space="0"/>
              <w:left w:val="nil"/>
              <w:bottom w:val="single" w:color="auto" w:sz="4" w:space="0"/>
              <w:right w:val="single" w:color="auto" w:sz="4" w:space="0"/>
            </w:tcBorders>
            <w:vAlign w:val="center"/>
          </w:tcPr>
          <w:p w14:paraId="79EF0E65">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投标人在参与本项目中，对于招标人披露和提供的所有信息应作为商业秘密对待并予以保护，未经招标人授权不得将任何信息泄漏给第三方，否则招标人有权追究投标人的责任。</w:t>
            </w:r>
          </w:p>
        </w:tc>
      </w:tr>
      <w:tr w14:paraId="6CD5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2BEA8B">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5</w:t>
            </w:r>
          </w:p>
        </w:tc>
        <w:tc>
          <w:tcPr>
            <w:tcW w:w="945" w:type="dxa"/>
            <w:tcBorders>
              <w:top w:val="single" w:color="auto" w:sz="4" w:space="0"/>
              <w:left w:val="nil"/>
              <w:bottom w:val="single" w:color="auto" w:sz="4" w:space="0"/>
              <w:right w:val="single" w:color="auto" w:sz="4" w:space="0"/>
            </w:tcBorders>
            <w:vAlign w:val="center"/>
          </w:tcPr>
          <w:p w14:paraId="3624C5E1">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7.1(3）</w:t>
            </w:r>
          </w:p>
        </w:tc>
        <w:tc>
          <w:tcPr>
            <w:tcW w:w="1778" w:type="dxa"/>
            <w:tcBorders>
              <w:top w:val="single" w:color="auto" w:sz="4" w:space="0"/>
              <w:left w:val="nil"/>
              <w:bottom w:val="single" w:color="auto" w:sz="4" w:space="0"/>
              <w:right w:val="single" w:color="auto" w:sz="4" w:space="0"/>
            </w:tcBorders>
            <w:vAlign w:val="center"/>
          </w:tcPr>
          <w:p w14:paraId="23E1EDF6">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证明投标人所提供的服务的合格性和符合招标文件规定的文件</w:t>
            </w:r>
          </w:p>
        </w:tc>
        <w:tc>
          <w:tcPr>
            <w:tcW w:w="4933" w:type="dxa"/>
            <w:tcBorders>
              <w:top w:val="single" w:color="auto" w:sz="4" w:space="0"/>
              <w:left w:val="nil"/>
              <w:bottom w:val="single" w:color="auto" w:sz="4" w:space="0"/>
              <w:right w:val="single" w:color="auto" w:sz="4" w:space="0"/>
            </w:tcBorders>
            <w:vAlign w:val="center"/>
          </w:tcPr>
          <w:p w14:paraId="000B533A">
            <w:pPr>
              <w:numPr>
                <w:ilvl w:val="0"/>
                <w:numId w:val="12"/>
              </w:numPr>
              <w:spacing w:line="360" w:lineRule="auto"/>
              <w:ind w:left="0" w:firstLine="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投标人对第五章《采购需求书》中各部分要求的逐点应答。</w:t>
            </w:r>
          </w:p>
          <w:p w14:paraId="78DB896A">
            <w:pPr>
              <w:numPr>
                <w:ilvl w:val="0"/>
                <w:numId w:val="12"/>
              </w:numPr>
              <w:spacing w:line="360" w:lineRule="auto"/>
              <w:ind w:left="0" w:firstLine="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招标文件要求的其它内容和文件。</w:t>
            </w:r>
          </w:p>
        </w:tc>
      </w:tr>
      <w:tr w14:paraId="1C40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47D07C54">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6</w:t>
            </w:r>
          </w:p>
        </w:tc>
        <w:tc>
          <w:tcPr>
            <w:tcW w:w="945" w:type="dxa"/>
            <w:tcBorders>
              <w:top w:val="single" w:color="auto" w:sz="4" w:space="0"/>
              <w:left w:val="nil"/>
              <w:bottom w:val="single" w:color="auto" w:sz="4" w:space="0"/>
              <w:right w:val="single" w:color="auto" w:sz="4" w:space="0"/>
            </w:tcBorders>
            <w:vAlign w:val="center"/>
          </w:tcPr>
          <w:p w14:paraId="26DB19F0">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8.1</w:t>
            </w:r>
          </w:p>
        </w:tc>
        <w:tc>
          <w:tcPr>
            <w:tcW w:w="1778" w:type="dxa"/>
            <w:tcBorders>
              <w:top w:val="single" w:color="auto" w:sz="4" w:space="0"/>
              <w:left w:val="nil"/>
              <w:bottom w:val="single" w:color="auto" w:sz="4" w:space="0"/>
              <w:right w:val="single" w:color="auto" w:sz="4" w:space="0"/>
            </w:tcBorders>
            <w:vAlign w:val="center"/>
          </w:tcPr>
          <w:p w14:paraId="0CD58CCD">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投标文件的式样和签署</w:t>
            </w:r>
          </w:p>
        </w:tc>
        <w:tc>
          <w:tcPr>
            <w:tcW w:w="4933" w:type="dxa"/>
            <w:tcBorders>
              <w:top w:val="single" w:color="auto" w:sz="4" w:space="0"/>
              <w:left w:val="nil"/>
              <w:bottom w:val="single" w:color="auto" w:sz="4" w:space="0"/>
              <w:right w:val="single" w:color="auto" w:sz="4" w:space="0"/>
            </w:tcBorders>
            <w:vAlign w:val="center"/>
          </w:tcPr>
          <w:p w14:paraId="0B91D2BE">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投标文件一式</w:t>
            </w:r>
            <w:r>
              <w:rPr>
                <w:rFonts w:hint="eastAsia" w:ascii="仿宋" w:hAnsi="仿宋" w:cs="仿宋"/>
                <w:bCs/>
                <w:color w:val="000000" w:themeColor="text1"/>
                <w:highlight w:val="none"/>
                <w:lang w:val="en-US" w:eastAsia="zh-CN"/>
                <w14:textFill>
                  <w14:solidFill>
                    <w14:schemeClr w14:val="tx1"/>
                  </w14:solidFill>
                </w14:textFill>
              </w:rPr>
              <w:t>2</w:t>
            </w:r>
            <w:r>
              <w:rPr>
                <w:rFonts w:hint="eastAsia" w:ascii="仿宋" w:hAnsi="仿宋" w:cs="仿宋"/>
                <w:color w:val="000000" w:themeColor="text1"/>
                <w:highlight w:val="none"/>
                <w14:textFill>
                  <w14:solidFill>
                    <w14:schemeClr w14:val="tx1"/>
                  </w14:solidFill>
                </w14:textFill>
              </w:rPr>
              <w:t>份（1 份正本、</w:t>
            </w:r>
            <w:r>
              <w:rPr>
                <w:rFonts w:hint="eastAsia" w:ascii="仿宋" w:hAnsi="仿宋" w:cs="仿宋"/>
                <w:color w:val="000000" w:themeColor="text1"/>
                <w:highlight w:val="none"/>
                <w:lang w:val="en-US" w:eastAsia="zh-CN"/>
                <w14:textFill>
                  <w14:solidFill>
                    <w14:schemeClr w14:val="tx1"/>
                  </w14:solidFill>
                </w14:textFill>
              </w:rPr>
              <w:t>1</w:t>
            </w:r>
            <w:r>
              <w:rPr>
                <w:rFonts w:hint="eastAsia" w:ascii="仿宋" w:hAnsi="仿宋" w:cs="仿宋"/>
                <w:color w:val="000000" w:themeColor="text1"/>
                <w:highlight w:val="none"/>
                <w14:textFill>
                  <w14:solidFill>
                    <w14:schemeClr w14:val="tx1"/>
                  </w14:solidFill>
                </w14:textFill>
              </w:rPr>
              <w:t>份副本），电子版本一份（PDF格式扫描件，电子版请务必保证PDF扫描件为正本投标文件（需按要求加盖公章及签字）的扫描件，否则，其投标将有可能被判定为非实质性满足招标文件的要求）。投标文件用中文编写，A4纸胶装。其中正本必须注明“正本”字样，正、副本及电子版本内容必须保持一致，副本可以用复印件。若正本和副本或电子版本不符，以正本为准。</w:t>
            </w:r>
          </w:p>
          <w:p w14:paraId="716D20B2">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开标一览表除在投标文件中提供外，还需另外单独封装一份</w:t>
            </w:r>
            <w:r>
              <w:rPr>
                <w:rFonts w:hint="eastAsia" w:ascii="仿宋" w:hAnsi="仿宋" w:cs="仿宋"/>
                <w:color w:val="000000" w:themeColor="text1"/>
                <w:highlight w:val="none"/>
                <w14:textFill>
                  <w14:solidFill>
                    <w14:schemeClr w14:val="tx1"/>
                  </w14:solidFill>
                </w14:textFill>
              </w:rPr>
              <w:t>。</w:t>
            </w:r>
          </w:p>
          <w:p w14:paraId="7479E25B">
            <w:pPr>
              <w:spacing w:line="360" w:lineRule="auto"/>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投标文件采用软面胶装，并编制目录及逐页编码。</w:t>
            </w:r>
          </w:p>
          <w:p w14:paraId="045022A1">
            <w:pPr>
              <w:spacing w:line="360" w:lineRule="auto"/>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特别地，投标人须对第三章《评标办法》中的评分要求逐项说明在投标文件中装订页码，并将该页装订在投标文件的首页。</w:t>
            </w:r>
          </w:p>
        </w:tc>
      </w:tr>
      <w:tr w14:paraId="3553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DAF2A94">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7</w:t>
            </w:r>
          </w:p>
        </w:tc>
        <w:tc>
          <w:tcPr>
            <w:tcW w:w="945" w:type="dxa"/>
            <w:tcBorders>
              <w:top w:val="single" w:color="auto" w:sz="4" w:space="0"/>
              <w:left w:val="nil"/>
              <w:bottom w:val="single" w:color="auto" w:sz="4" w:space="0"/>
              <w:right w:val="single" w:color="auto" w:sz="4" w:space="0"/>
            </w:tcBorders>
            <w:vAlign w:val="center"/>
          </w:tcPr>
          <w:p w14:paraId="4B4A1012">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9.1</w:t>
            </w:r>
          </w:p>
        </w:tc>
        <w:tc>
          <w:tcPr>
            <w:tcW w:w="1778" w:type="dxa"/>
            <w:tcBorders>
              <w:top w:val="single" w:color="auto" w:sz="4" w:space="0"/>
              <w:left w:val="nil"/>
              <w:bottom w:val="single" w:color="auto" w:sz="4" w:space="0"/>
              <w:right w:val="single" w:color="auto" w:sz="4" w:space="0"/>
            </w:tcBorders>
            <w:vAlign w:val="center"/>
          </w:tcPr>
          <w:p w14:paraId="6E7727ED">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投标报价</w:t>
            </w:r>
          </w:p>
        </w:tc>
        <w:tc>
          <w:tcPr>
            <w:tcW w:w="4933" w:type="dxa"/>
            <w:tcBorders>
              <w:top w:val="single" w:color="auto" w:sz="4" w:space="0"/>
              <w:left w:val="nil"/>
              <w:bottom w:val="single" w:color="auto" w:sz="4" w:space="0"/>
              <w:right w:val="single" w:color="auto" w:sz="4" w:space="0"/>
            </w:tcBorders>
          </w:tcPr>
          <w:p w14:paraId="4A458BBC">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9.1.1投标人应根据采购需求书中的要求，提供开标一览表和分项报价表（格式见附件）。</w:t>
            </w:r>
          </w:p>
          <w:p w14:paraId="12903A57">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9.1.2投标人在报价时应充分考虑不确定性因素所引起的费用。</w:t>
            </w:r>
          </w:p>
        </w:tc>
      </w:tr>
      <w:tr w14:paraId="2450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244C2676">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8</w:t>
            </w:r>
          </w:p>
        </w:tc>
        <w:tc>
          <w:tcPr>
            <w:tcW w:w="945" w:type="dxa"/>
            <w:tcBorders>
              <w:top w:val="single" w:color="auto" w:sz="4" w:space="0"/>
              <w:left w:val="nil"/>
              <w:bottom w:val="single" w:color="auto" w:sz="4" w:space="0"/>
              <w:right w:val="single" w:color="auto" w:sz="4" w:space="0"/>
            </w:tcBorders>
            <w:vAlign w:val="center"/>
          </w:tcPr>
          <w:p w14:paraId="6104D85B">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10.1</w:t>
            </w:r>
          </w:p>
        </w:tc>
        <w:tc>
          <w:tcPr>
            <w:tcW w:w="1778" w:type="dxa"/>
            <w:tcBorders>
              <w:top w:val="single" w:color="auto" w:sz="4" w:space="0"/>
              <w:left w:val="nil"/>
              <w:bottom w:val="single" w:color="auto" w:sz="4" w:space="0"/>
              <w:right w:val="single" w:color="auto" w:sz="4" w:space="0"/>
            </w:tcBorders>
            <w:vAlign w:val="center"/>
          </w:tcPr>
          <w:p w14:paraId="24FEDB43">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投标保证金</w:t>
            </w:r>
          </w:p>
        </w:tc>
        <w:tc>
          <w:tcPr>
            <w:tcW w:w="4933" w:type="dxa"/>
            <w:tcBorders>
              <w:top w:val="single" w:color="auto" w:sz="4" w:space="0"/>
              <w:left w:val="nil"/>
              <w:bottom w:val="single" w:color="auto" w:sz="4" w:space="0"/>
              <w:right w:val="single" w:color="auto" w:sz="4" w:space="0"/>
            </w:tcBorders>
            <w:vAlign w:val="center"/>
          </w:tcPr>
          <w:p w14:paraId="2DFB375E">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投标人应提交</w:t>
            </w:r>
            <w:r>
              <w:rPr>
                <w:rFonts w:hint="eastAsia" w:ascii="仿宋" w:hAnsi="仿宋" w:cs="仿宋"/>
                <w:color w:val="000000" w:themeColor="text1"/>
                <w:highlight w:val="none"/>
                <w:lang w:val="en-US" w:eastAsia="zh-CN"/>
                <w14:textFill>
                  <w14:solidFill>
                    <w14:schemeClr w14:val="tx1"/>
                  </w14:solidFill>
                </w14:textFill>
              </w:rPr>
              <w:t>0.5</w:t>
            </w:r>
            <w:r>
              <w:rPr>
                <w:rFonts w:hint="eastAsia" w:ascii="仿宋" w:hAnsi="仿宋" w:cs="仿宋"/>
                <w:color w:val="000000" w:themeColor="text1"/>
                <w:highlight w:val="none"/>
                <w:lang w:eastAsia="zh-Hans"/>
                <w14:textFill>
                  <w14:solidFill>
                    <w14:schemeClr w14:val="tx1"/>
                  </w14:solidFill>
                </w14:textFill>
              </w:rPr>
              <w:t>万</w:t>
            </w:r>
            <w:r>
              <w:rPr>
                <w:rFonts w:hint="eastAsia" w:ascii="仿宋" w:hAnsi="仿宋" w:cs="仿宋"/>
                <w:color w:val="000000" w:themeColor="text1"/>
                <w:highlight w:val="none"/>
                <w14:textFill>
                  <w14:solidFill>
                    <w14:schemeClr w14:val="tx1"/>
                  </w14:solidFill>
                </w14:textFill>
              </w:rPr>
              <w:t>元人民币的投标保证金，并作为其投标文件的一部分。</w:t>
            </w:r>
          </w:p>
        </w:tc>
      </w:tr>
      <w:tr w14:paraId="4CE7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54768904">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9</w:t>
            </w:r>
          </w:p>
        </w:tc>
        <w:tc>
          <w:tcPr>
            <w:tcW w:w="945" w:type="dxa"/>
            <w:tcBorders>
              <w:top w:val="single" w:color="auto" w:sz="4" w:space="0"/>
              <w:left w:val="nil"/>
              <w:bottom w:val="single" w:color="auto" w:sz="4" w:space="0"/>
              <w:right w:val="single" w:color="auto" w:sz="4" w:space="0"/>
            </w:tcBorders>
            <w:vAlign w:val="center"/>
          </w:tcPr>
          <w:p w14:paraId="23554002">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10.3</w:t>
            </w:r>
          </w:p>
        </w:tc>
        <w:tc>
          <w:tcPr>
            <w:tcW w:w="1778" w:type="dxa"/>
            <w:tcBorders>
              <w:top w:val="single" w:color="auto" w:sz="4" w:space="0"/>
              <w:left w:val="nil"/>
              <w:bottom w:val="single" w:color="auto" w:sz="4" w:space="0"/>
              <w:right w:val="single" w:color="auto" w:sz="4" w:space="0"/>
            </w:tcBorders>
            <w:vAlign w:val="center"/>
          </w:tcPr>
          <w:p w14:paraId="7480CA6B">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投标保证金</w:t>
            </w:r>
          </w:p>
          <w:p w14:paraId="05708765">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形式</w:t>
            </w:r>
          </w:p>
        </w:tc>
        <w:tc>
          <w:tcPr>
            <w:tcW w:w="4933" w:type="dxa"/>
            <w:tcBorders>
              <w:top w:val="single" w:color="auto" w:sz="4" w:space="0"/>
              <w:left w:val="nil"/>
              <w:bottom w:val="single" w:color="auto" w:sz="4" w:space="0"/>
              <w:right w:val="single" w:color="auto" w:sz="4" w:space="0"/>
            </w:tcBorders>
            <w:vAlign w:val="center"/>
          </w:tcPr>
          <w:p w14:paraId="1A80CDD3">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投标保证金的形式：电汇或转账</w:t>
            </w:r>
            <w:r>
              <w:rPr>
                <w:rFonts w:hint="eastAsia" w:ascii="仿宋" w:hAnsi="仿宋" w:cs="仿宋"/>
                <w:color w:val="000000" w:themeColor="text1"/>
                <w:highlight w:val="none"/>
                <w:lang w:val="en-US" w:eastAsia="zh-CN"/>
                <w14:textFill>
                  <w14:solidFill>
                    <w14:schemeClr w14:val="tx1"/>
                  </w14:solidFill>
                </w14:textFill>
              </w:rPr>
              <w:t>或</w:t>
            </w:r>
            <w:r>
              <w:rPr>
                <w:rFonts w:ascii="Arial" w:hAnsi="Arial" w:cs="Arial"/>
                <w:color w:val="000000" w:themeColor="text1"/>
                <w:kern w:val="0"/>
                <w:sz w:val="24"/>
                <w:highlight w:val="none"/>
                <w:lang w:val="zh-CN"/>
                <w14:textFill>
                  <w14:solidFill>
                    <w14:schemeClr w14:val="tx1"/>
                  </w14:solidFill>
                </w14:textFill>
              </w:rPr>
              <w:t>者金融机构、担保机构出具的保函等非现金形式提交。</w:t>
            </w:r>
          </w:p>
          <w:p w14:paraId="0F19A542">
            <w:pPr>
              <w:keepNext w:val="0"/>
              <w:keepLines w:val="0"/>
              <w:suppressLineNumbers w:val="0"/>
              <w:spacing w:before="0" w:beforeAutospacing="0" w:after="0" w:afterAutospacing="0" w:line="360" w:lineRule="auto"/>
              <w:ind w:left="0" w:right="0"/>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投标保证金的金额：人民币</w:t>
            </w:r>
            <w:r>
              <w:rPr>
                <w:rFonts w:hint="eastAsia" w:ascii="仿宋" w:hAnsi="仿宋" w:cs="仿宋"/>
                <w:color w:val="000000" w:themeColor="text1"/>
                <w:highlight w:val="none"/>
                <w:lang w:val="en-US" w:eastAsia="zh-CN"/>
                <w14:textFill>
                  <w14:solidFill>
                    <w14:schemeClr w14:val="tx1"/>
                  </w14:solidFill>
                </w14:textFill>
              </w:rPr>
              <w:t>伍仟元整</w:t>
            </w:r>
            <w:r>
              <w:rPr>
                <w:rFonts w:hint="eastAsia" w:ascii="仿宋" w:hAnsi="仿宋" w:cs="仿宋"/>
                <w:color w:val="000000" w:themeColor="text1"/>
                <w:highlight w:val="none"/>
                <w14:textFill>
                  <w14:solidFill>
                    <w14:schemeClr w14:val="tx1"/>
                  </w14:solidFill>
                </w14:textFill>
              </w:rPr>
              <w:t>（￥</w:t>
            </w:r>
            <w:r>
              <w:rPr>
                <w:rFonts w:hint="eastAsia" w:ascii="仿宋" w:hAnsi="仿宋" w:cs="仿宋"/>
                <w:color w:val="000000" w:themeColor="text1"/>
                <w:highlight w:val="none"/>
                <w:lang w:val="en-US" w:eastAsia="zh-CN"/>
                <w14:textFill>
                  <w14:solidFill>
                    <w14:schemeClr w14:val="tx1"/>
                  </w14:solidFill>
                </w14:textFill>
              </w:rPr>
              <w:t>5,000.00</w:t>
            </w:r>
            <w:r>
              <w:rPr>
                <w:rFonts w:hint="eastAsia" w:ascii="仿宋" w:hAnsi="仿宋" w:cs="仿宋"/>
                <w:color w:val="000000" w:themeColor="text1"/>
                <w:highlight w:val="none"/>
                <w14:textFill>
                  <w14:solidFill>
                    <w14:schemeClr w14:val="tx1"/>
                  </w14:solidFill>
                </w14:textFill>
              </w:rPr>
              <w:t>）</w:t>
            </w:r>
          </w:p>
          <w:p w14:paraId="27E44930">
            <w:pPr>
              <w:keepNext w:val="0"/>
              <w:keepLines w:val="0"/>
              <w:suppressLineNumbers w:val="0"/>
              <w:spacing w:before="0" w:beforeAutospacing="0" w:after="0" w:afterAutospacing="0" w:line="360" w:lineRule="auto"/>
              <w:ind w:left="0" w:right="0"/>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投标保证金递交截止时间：以投标截止时间前到达招标代理机构指定银行账户到账时间为准，否则投标无效。</w:t>
            </w:r>
          </w:p>
          <w:p w14:paraId="33B910CC">
            <w:pPr>
              <w:keepNext w:val="0"/>
              <w:keepLines w:val="0"/>
              <w:suppressLineNumbers w:val="0"/>
              <w:spacing w:before="0" w:beforeAutospacing="0" w:after="0" w:afterAutospacing="0" w:line="360" w:lineRule="auto"/>
              <w:ind w:left="0" w:right="0"/>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招标人指定的账户信息如下：</w:t>
            </w:r>
          </w:p>
          <w:p w14:paraId="77B8250D">
            <w:pPr>
              <w:keepNext w:val="0"/>
              <w:keepLines w:val="0"/>
              <w:suppressLineNumbers w:val="0"/>
              <w:spacing w:before="0" w:beforeAutospacing="0" w:after="0" w:afterAutospacing="0" w:line="360" w:lineRule="auto"/>
              <w:ind w:left="0" w:right="0"/>
              <w:rPr>
                <w:rFonts w:hint="eastAsia"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账户名称：</w:t>
            </w:r>
            <w:r>
              <w:rPr>
                <w:rFonts w:ascii="Arial" w:hAnsi="Arial" w:cs="Arial"/>
                <w:color w:val="000000" w:themeColor="text1"/>
                <w:sz w:val="24"/>
                <w:highlight w:val="none"/>
                <w14:textFill>
                  <w14:solidFill>
                    <w14:schemeClr w14:val="tx1"/>
                  </w14:solidFill>
                </w14:textFill>
              </w:rPr>
              <w:t>青海诚容工程项目管理有限责任公司</w:t>
            </w:r>
          </w:p>
          <w:p w14:paraId="0E7ACFDC">
            <w:pPr>
              <w:keepNext w:val="0"/>
              <w:keepLines w:val="0"/>
              <w:suppressLineNumbers w:val="0"/>
              <w:spacing w:before="0" w:beforeAutospacing="0" w:after="0" w:afterAutospacing="0" w:line="360" w:lineRule="auto"/>
              <w:ind w:left="0" w:right="0"/>
              <w:rPr>
                <w:rFonts w:hint="eastAsia"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开户银行：</w:t>
            </w:r>
            <w:r>
              <w:rPr>
                <w:rFonts w:ascii="Arial" w:hAnsi="Arial" w:cs="Arial"/>
                <w:color w:val="000000" w:themeColor="text1"/>
                <w:sz w:val="24"/>
                <w:highlight w:val="none"/>
                <w14:textFill>
                  <w14:solidFill>
                    <w14:schemeClr w14:val="tx1"/>
                  </w14:solidFill>
                </w14:textFill>
              </w:rPr>
              <w:t>中国建设银行股份有限公司青海电力支行</w:t>
            </w:r>
          </w:p>
          <w:p w14:paraId="300386E3">
            <w:pPr>
              <w:keepNext w:val="0"/>
              <w:keepLines w:val="0"/>
              <w:suppressLineNumbers w:val="0"/>
              <w:spacing w:before="0" w:beforeAutospacing="0" w:after="0" w:afterAutospacing="0" w:line="360" w:lineRule="auto"/>
              <w:ind w:left="0" w:right="0"/>
              <w:rPr>
                <w:rFonts w:hint="eastAsia"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帐号：63001883637050209715</w:t>
            </w:r>
          </w:p>
          <w:p w14:paraId="466BB858">
            <w:pPr>
              <w:keepNext w:val="0"/>
              <w:keepLines w:val="0"/>
              <w:suppressLineNumbers w:val="0"/>
              <w:spacing w:before="0" w:beforeAutospacing="0" w:after="0" w:afterAutospacing="0" w:line="360" w:lineRule="auto"/>
              <w:ind w:left="0" w:right="0"/>
              <w:rPr>
                <w:rFonts w:hint="default" w:ascii="仿宋" w:hAnsi="仿宋" w:cs="仿宋"/>
                <w:color w:val="000000" w:themeColor="text1"/>
                <w:highlight w:val="none"/>
                <w:lang w:val="en-US" w:eastAsia="zh-CN"/>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行号：105851001101</w:t>
            </w:r>
          </w:p>
          <w:p w14:paraId="0E279982">
            <w:pPr>
              <w:keepNext w:val="0"/>
              <w:keepLines w:val="0"/>
              <w:suppressLineNumbers w:val="0"/>
              <w:spacing w:before="0" w:beforeAutospacing="0" w:after="0" w:afterAutospacing="0" w:line="360" w:lineRule="auto"/>
              <w:ind w:left="0" w:right="0"/>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备注：</w:t>
            </w:r>
          </w:p>
          <w:p w14:paraId="1D65C202">
            <w:pPr>
              <w:keepNext w:val="0"/>
              <w:keepLines w:val="0"/>
              <w:suppressLineNumbers w:val="0"/>
              <w:spacing w:before="0" w:beforeAutospacing="0" w:after="0" w:afterAutospacing="0" w:line="360" w:lineRule="auto"/>
              <w:ind w:left="0" w:right="0"/>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1、投标保证金的退还</w:t>
            </w:r>
            <w:r>
              <w:rPr>
                <w:rFonts w:hint="eastAsia" w:ascii="仿宋" w:hAnsi="仿宋" w:cs="仿宋"/>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招标人与中标人签订合同后5日内，由招标代理机构全额无息退还（不退现金）。</w:t>
            </w:r>
          </w:p>
          <w:p w14:paraId="5A5BBD56">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2、投标人在投标截止时间前撤回投标文件的，招标</w:t>
            </w:r>
            <w:r>
              <w:rPr>
                <w:rFonts w:hint="eastAsia" w:ascii="仿宋" w:hAnsi="仿宋" w:cs="仿宋"/>
                <w:color w:val="000000" w:themeColor="text1"/>
                <w:highlight w:val="none"/>
                <w:lang w:val="en-US" w:eastAsia="zh-CN"/>
                <w14:textFill>
                  <w14:solidFill>
                    <w14:schemeClr w14:val="tx1"/>
                  </w14:solidFill>
                </w14:textFill>
              </w:rPr>
              <w:t>代理机构</w:t>
            </w:r>
            <w:r>
              <w:rPr>
                <w:rFonts w:hint="eastAsia" w:ascii="仿宋" w:hAnsi="仿宋" w:cs="仿宋"/>
                <w:color w:val="000000" w:themeColor="text1"/>
                <w:highlight w:val="none"/>
                <w14:textFill>
                  <w14:solidFill>
                    <w14:schemeClr w14:val="tx1"/>
                  </w14:solidFill>
                </w14:textFill>
              </w:rPr>
              <w:t>自收到投标人书面撤回通知之日起5个工作日内退还投标保证金。</w:t>
            </w:r>
          </w:p>
        </w:tc>
      </w:tr>
      <w:tr w14:paraId="4122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AC37040">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10</w:t>
            </w:r>
          </w:p>
        </w:tc>
        <w:tc>
          <w:tcPr>
            <w:tcW w:w="945" w:type="dxa"/>
            <w:tcBorders>
              <w:top w:val="single" w:color="auto" w:sz="4" w:space="0"/>
              <w:left w:val="nil"/>
              <w:bottom w:val="single" w:color="auto" w:sz="4" w:space="0"/>
              <w:right w:val="single" w:color="auto" w:sz="4" w:space="0"/>
            </w:tcBorders>
            <w:vAlign w:val="center"/>
          </w:tcPr>
          <w:p w14:paraId="272C3E97">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11.1</w:t>
            </w:r>
          </w:p>
        </w:tc>
        <w:tc>
          <w:tcPr>
            <w:tcW w:w="1778" w:type="dxa"/>
            <w:tcBorders>
              <w:top w:val="single" w:color="auto" w:sz="4" w:space="0"/>
              <w:left w:val="nil"/>
              <w:bottom w:val="single" w:color="auto" w:sz="4" w:space="0"/>
              <w:right w:val="single" w:color="auto" w:sz="4" w:space="0"/>
            </w:tcBorders>
            <w:vAlign w:val="center"/>
          </w:tcPr>
          <w:p w14:paraId="4B2F4853">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投标有效期</w:t>
            </w:r>
          </w:p>
        </w:tc>
        <w:tc>
          <w:tcPr>
            <w:tcW w:w="4933" w:type="dxa"/>
            <w:tcBorders>
              <w:top w:val="single" w:color="auto" w:sz="4" w:space="0"/>
              <w:left w:val="nil"/>
              <w:bottom w:val="single" w:color="auto" w:sz="4" w:space="0"/>
              <w:right w:val="single" w:color="auto" w:sz="4" w:space="0"/>
            </w:tcBorders>
            <w:vAlign w:val="center"/>
          </w:tcPr>
          <w:p w14:paraId="1C370F8D">
            <w:pPr>
              <w:spacing w:line="360" w:lineRule="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投标人递交的投标文件应在规定的递交投标文件截止日后的</w:t>
            </w:r>
            <w:r>
              <w:rPr>
                <w:rFonts w:hint="eastAsia" w:ascii="仿宋" w:hAnsi="仿宋" w:cs="仿宋"/>
                <w:color w:val="000000" w:themeColor="text1"/>
                <w:highlight w:val="none"/>
                <w:lang w:val="en-US" w:eastAsia="zh-CN"/>
                <w14:textFill>
                  <w14:solidFill>
                    <w14:schemeClr w14:val="tx1"/>
                  </w14:solidFill>
                </w14:textFill>
              </w:rPr>
              <w:t>90</w:t>
            </w:r>
            <w:r>
              <w:rPr>
                <w:rFonts w:hint="eastAsia" w:ascii="仿宋" w:hAnsi="仿宋" w:cs="仿宋"/>
                <w:color w:val="000000" w:themeColor="text1"/>
                <w:highlight w:val="none"/>
                <w14:textFill>
                  <w14:solidFill>
                    <w14:schemeClr w14:val="tx1"/>
                  </w14:solidFill>
                </w14:textFill>
              </w:rPr>
              <w:t>天内保持有效</w:t>
            </w:r>
            <w:r>
              <w:rPr>
                <w:rFonts w:hint="eastAsia" w:ascii="仿宋" w:hAnsi="仿宋" w:cs="仿宋"/>
                <w:color w:val="000000" w:themeColor="text1"/>
                <w:highlight w:val="none"/>
                <w:lang w:eastAsia="zh-CN"/>
                <w14:textFill>
                  <w14:solidFill>
                    <w14:schemeClr w14:val="tx1"/>
                  </w14:solidFill>
                </w14:textFill>
              </w:rPr>
              <w:t>。</w:t>
            </w:r>
          </w:p>
        </w:tc>
      </w:tr>
      <w:tr w14:paraId="0481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74207A72">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11</w:t>
            </w:r>
          </w:p>
        </w:tc>
        <w:tc>
          <w:tcPr>
            <w:tcW w:w="945" w:type="dxa"/>
            <w:tcBorders>
              <w:top w:val="single" w:color="auto" w:sz="4" w:space="0"/>
              <w:left w:val="nil"/>
              <w:bottom w:val="single" w:color="auto" w:sz="4" w:space="0"/>
              <w:right w:val="single" w:color="auto" w:sz="4" w:space="0"/>
            </w:tcBorders>
            <w:vAlign w:val="center"/>
          </w:tcPr>
          <w:p w14:paraId="73FA3E13">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13.1</w:t>
            </w:r>
          </w:p>
        </w:tc>
        <w:tc>
          <w:tcPr>
            <w:tcW w:w="1778" w:type="dxa"/>
            <w:tcBorders>
              <w:top w:val="single" w:color="auto" w:sz="4" w:space="0"/>
              <w:left w:val="nil"/>
              <w:bottom w:val="single" w:color="auto" w:sz="4" w:space="0"/>
              <w:right w:val="single" w:color="auto" w:sz="4" w:space="0"/>
            </w:tcBorders>
            <w:vAlign w:val="center"/>
          </w:tcPr>
          <w:p w14:paraId="07AF04D0">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递交投标文件截止时间</w:t>
            </w:r>
          </w:p>
        </w:tc>
        <w:tc>
          <w:tcPr>
            <w:tcW w:w="4933" w:type="dxa"/>
            <w:tcBorders>
              <w:top w:val="single" w:color="auto" w:sz="4" w:space="0"/>
              <w:left w:val="nil"/>
              <w:bottom w:val="single" w:color="auto" w:sz="4" w:space="0"/>
              <w:right w:val="single" w:color="auto" w:sz="4" w:space="0"/>
            </w:tcBorders>
            <w:vAlign w:val="center"/>
          </w:tcPr>
          <w:p w14:paraId="5009E315">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见招标文件第一章《招标公告》</w:t>
            </w:r>
          </w:p>
        </w:tc>
      </w:tr>
      <w:tr w14:paraId="6968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3731824D">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12</w:t>
            </w:r>
          </w:p>
        </w:tc>
        <w:tc>
          <w:tcPr>
            <w:tcW w:w="945" w:type="dxa"/>
            <w:tcBorders>
              <w:top w:val="single" w:color="auto" w:sz="4" w:space="0"/>
              <w:left w:val="nil"/>
              <w:bottom w:val="single" w:color="auto" w:sz="4" w:space="0"/>
              <w:right w:val="single" w:color="auto" w:sz="4" w:space="0"/>
            </w:tcBorders>
            <w:vAlign w:val="center"/>
          </w:tcPr>
          <w:p w14:paraId="73248761">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16.1</w:t>
            </w:r>
          </w:p>
        </w:tc>
        <w:tc>
          <w:tcPr>
            <w:tcW w:w="1778" w:type="dxa"/>
            <w:tcBorders>
              <w:top w:val="single" w:color="auto" w:sz="4" w:space="0"/>
              <w:left w:val="nil"/>
              <w:bottom w:val="single" w:color="auto" w:sz="4" w:space="0"/>
              <w:right w:val="single" w:color="auto" w:sz="4" w:space="0"/>
            </w:tcBorders>
            <w:vAlign w:val="center"/>
          </w:tcPr>
          <w:p w14:paraId="11011764">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开标时间</w:t>
            </w:r>
          </w:p>
          <w:p w14:paraId="433772E3">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和递交投标文件地点</w:t>
            </w:r>
          </w:p>
        </w:tc>
        <w:tc>
          <w:tcPr>
            <w:tcW w:w="4933" w:type="dxa"/>
            <w:tcBorders>
              <w:top w:val="single" w:color="auto" w:sz="4" w:space="0"/>
              <w:left w:val="nil"/>
              <w:bottom w:val="single" w:color="auto" w:sz="4" w:space="0"/>
              <w:right w:val="single" w:color="auto" w:sz="4" w:space="0"/>
            </w:tcBorders>
            <w:vAlign w:val="center"/>
          </w:tcPr>
          <w:p w14:paraId="57AB1F8E">
            <w:pPr>
              <w:spacing w:line="360" w:lineRule="auto"/>
              <w:ind w:left="566" w:hanging="566" w:hangingChars="236"/>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见招标文件第一章《招标公告》</w:t>
            </w:r>
          </w:p>
        </w:tc>
      </w:tr>
      <w:tr w14:paraId="1E7A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A9D9964">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13</w:t>
            </w:r>
          </w:p>
        </w:tc>
        <w:tc>
          <w:tcPr>
            <w:tcW w:w="945" w:type="dxa"/>
            <w:tcBorders>
              <w:top w:val="single" w:color="auto" w:sz="4" w:space="0"/>
              <w:left w:val="nil"/>
              <w:bottom w:val="single" w:color="auto" w:sz="4" w:space="0"/>
              <w:right w:val="single" w:color="auto" w:sz="4" w:space="0"/>
            </w:tcBorders>
            <w:vAlign w:val="center"/>
          </w:tcPr>
          <w:p w14:paraId="546D0763">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19.3</w:t>
            </w:r>
          </w:p>
        </w:tc>
        <w:tc>
          <w:tcPr>
            <w:tcW w:w="1778" w:type="dxa"/>
            <w:tcBorders>
              <w:top w:val="single" w:color="auto" w:sz="4" w:space="0"/>
              <w:left w:val="nil"/>
              <w:bottom w:val="single" w:color="auto" w:sz="4" w:space="0"/>
              <w:right w:val="single" w:color="auto" w:sz="4" w:space="0"/>
            </w:tcBorders>
            <w:vAlign w:val="center"/>
          </w:tcPr>
          <w:p w14:paraId="632893F1">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投标文件报价出现前后不一致的，按照下列规则及顺序修正</w:t>
            </w:r>
          </w:p>
        </w:tc>
        <w:tc>
          <w:tcPr>
            <w:tcW w:w="4933" w:type="dxa"/>
            <w:tcBorders>
              <w:top w:val="single" w:color="auto" w:sz="4" w:space="0"/>
              <w:left w:val="nil"/>
              <w:bottom w:val="single" w:color="auto" w:sz="4" w:space="0"/>
              <w:right w:val="single" w:color="auto" w:sz="4" w:space="0"/>
            </w:tcBorders>
            <w:vAlign w:val="center"/>
          </w:tcPr>
          <w:p w14:paraId="6A2B38AA">
            <w:pPr>
              <w:numPr>
                <w:ilvl w:val="0"/>
                <w:numId w:val="13"/>
              </w:numPr>
              <w:spacing w:line="360" w:lineRule="auto"/>
              <w:ind w:left="566" w:hanging="566" w:hangingChars="236"/>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当众宣读的开标一览表（报价表）与投标文件中开标一览表（报价表）内容不一致的，以当众宣读的开标一览表（报价表）为准。开标一览表（报价表）中不含增值税价格、所报税率计算结果与含增值税价格价格不一致，以不含增值税价格和所报税率为准调整含税价格；</w:t>
            </w:r>
          </w:p>
          <w:p w14:paraId="4808FEA4">
            <w:pPr>
              <w:numPr>
                <w:ilvl w:val="0"/>
                <w:numId w:val="13"/>
              </w:numPr>
              <w:spacing w:line="360" w:lineRule="auto"/>
              <w:ind w:left="566" w:hanging="566" w:hangingChars="236"/>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投标文件中开标一览表（报价表）内容与投标文件中相应内容不一致的，以开标一览表（报价表）为准；</w:t>
            </w:r>
          </w:p>
          <w:p w14:paraId="0A1362DA">
            <w:pPr>
              <w:numPr>
                <w:ilvl w:val="0"/>
                <w:numId w:val="13"/>
              </w:numPr>
              <w:spacing w:line="360" w:lineRule="auto"/>
              <w:ind w:left="566" w:hanging="566" w:hangingChars="236"/>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大写金额和小写金额不一致的，以大写金额为准；</w:t>
            </w:r>
          </w:p>
          <w:p w14:paraId="3E7E42F6">
            <w:pPr>
              <w:numPr>
                <w:ilvl w:val="0"/>
                <w:numId w:val="13"/>
              </w:numPr>
              <w:spacing w:line="360" w:lineRule="auto"/>
              <w:ind w:left="566" w:hanging="566" w:hangingChars="236"/>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单价金额小数点或者百分比有明显错位的，以开标一览表的总价为准，并修改单价；</w:t>
            </w:r>
          </w:p>
          <w:p w14:paraId="38CDFC09">
            <w:pPr>
              <w:numPr>
                <w:ilvl w:val="0"/>
                <w:numId w:val="13"/>
              </w:numPr>
              <w:spacing w:line="360" w:lineRule="auto"/>
              <w:ind w:left="566" w:hanging="566" w:hangingChars="236"/>
              <w:rPr>
                <w:rFonts w:ascii="仿宋" w:hAnsi="仿宋" w:cs="仿宋"/>
                <w:color w:val="000000" w:themeColor="text1"/>
                <w:highlight w:val="none"/>
                <w14:textFill>
                  <w14:solidFill>
                    <w14:schemeClr w14:val="tx1"/>
                  </w14:solidFill>
                </w14:textFill>
              </w:rPr>
            </w:pPr>
          </w:p>
          <w:p w14:paraId="483602B8">
            <w:pPr>
              <w:spacing w:line="360" w:lineRule="auto"/>
              <w:ind w:left="480" w:hanging="480" w:hangingChars="200"/>
              <w:rPr>
                <w:rFonts w:ascii="仿宋" w:hAnsi="仿宋"/>
                <w:color w:val="000000" w:themeColor="text1"/>
                <w:highlight w:val="none"/>
                <w14:textFill>
                  <w14:solidFill>
                    <w14:schemeClr w14:val="tx1"/>
                  </w14:solidFill>
                </w14:textFill>
              </w:rPr>
            </w:pPr>
            <w:r>
              <w:rPr>
                <w:rFonts w:hint="eastAsia" w:ascii="仿宋" w:hAnsi="仿宋" w:cs="仿宋"/>
                <w:bCs/>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【项目属于总价合同，不涉及据实结算】总价金额与按单价汇总金额不一致的，以总价金额计算结果为准修正单价；</w:t>
            </w:r>
          </w:p>
          <w:p w14:paraId="759A9504">
            <w:pPr>
              <w:spacing w:line="360" w:lineRule="auto"/>
              <w:ind w:left="566" w:hanging="566" w:hangingChars="236"/>
              <w:rPr>
                <w:rFonts w:ascii="仿宋" w:hAnsi="仿宋"/>
                <w:color w:val="000000" w:themeColor="text1"/>
                <w:highlight w:val="none"/>
                <w14:textFill>
                  <w14:solidFill>
                    <w14:schemeClr w14:val="tx1"/>
                  </w14:solidFill>
                </w14:textFill>
              </w:rPr>
            </w:pPr>
            <w:r>
              <w:rPr>
                <w:rFonts w:hint="eastAsia" w:ascii="仿宋" w:hAnsi="仿宋" w:cs="仿宋"/>
                <w:bCs/>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【项目属于按单价据实结算项目】总价</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评审价格与按单价汇总金额不一致的，以单价为准修正总价</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评审价格；</w:t>
            </w:r>
          </w:p>
          <w:p w14:paraId="235902C5">
            <w:pPr>
              <w:numPr>
                <w:ilvl w:val="0"/>
                <w:numId w:val="13"/>
              </w:numPr>
              <w:spacing w:line="360" w:lineRule="auto"/>
              <w:ind w:left="566" w:hanging="566" w:hangingChars="236"/>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同时出现两种以上不一致的，按照前款规定的顺序修正。修正后的报价经投标人书面确认后产生约束力，投标人不确认的，其投标无效。</w:t>
            </w:r>
          </w:p>
        </w:tc>
      </w:tr>
      <w:tr w14:paraId="19F1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789F3E8">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14</w:t>
            </w:r>
          </w:p>
        </w:tc>
        <w:tc>
          <w:tcPr>
            <w:tcW w:w="945" w:type="dxa"/>
            <w:tcBorders>
              <w:top w:val="single" w:color="auto" w:sz="4" w:space="0"/>
              <w:left w:val="nil"/>
              <w:bottom w:val="single" w:color="auto" w:sz="4" w:space="0"/>
              <w:right w:val="single" w:color="auto" w:sz="4" w:space="0"/>
            </w:tcBorders>
            <w:vAlign w:val="center"/>
          </w:tcPr>
          <w:p w14:paraId="228D507E">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19.6</w:t>
            </w:r>
          </w:p>
        </w:tc>
        <w:tc>
          <w:tcPr>
            <w:tcW w:w="1778" w:type="dxa"/>
            <w:tcBorders>
              <w:top w:val="single" w:color="auto" w:sz="4" w:space="0"/>
              <w:left w:val="nil"/>
              <w:bottom w:val="single" w:color="auto" w:sz="4" w:space="0"/>
              <w:right w:val="single" w:color="auto" w:sz="4" w:space="0"/>
            </w:tcBorders>
            <w:vAlign w:val="center"/>
          </w:tcPr>
          <w:p w14:paraId="7C03ADD8">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如发现下列情况之一的，其投标文件将可能被拒绝</w:t>
            </w:r>
          </w:p>
        </w:tc>
        <w:tc>
          <w:tcPr>
            <w:tcW w:w="4933" w:type="dxa"/>
            <w:tcBorders>
              <w:top w:val="single" w:color="auto" w:sz="4" w:space="0"/>
              <w:left w:val="nil"/>
              <w:bottom w:val="single" w:color="auto" w:sz="4" w:space="0"/>
              <w:right w:val="single" w:color="auto" w:sz="4" w:space="0"/>
            </w:tcBorders>
            <w:vAlign w:val="center"/>
          </w:tcPr>
          <w:p w14:paraId="584FA86D">
            <w:pPr>
              <w:numPr>
                <w:ilvl w:val="0"/>
                <w:numId w:val="14"/>
              </w:numPr>
              <w:tabs>
                <w:tab w:val="left" w:pos="640"/>
              </w:tabs>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不</w:t>
            </w:r>
            <w:r>
              <w:rPr>
                <w:rFonts w:hint="eastAsia" w:ascii="仿宋" w:hAnsi="仿宋" w:cs="仿宋"/>
                <w:color w:val="000000" w:themeColor="text1"/>
                <w:highlight w:val="none"/>
                <w14:textFill>
                  <w14:solidFill>
                    <w14:schemeClr w14:val="tx1"/>
                  </w14:solidFill>
                </w14:textFill>
              </w:rPr>
              <w:t>满足招标文件对合格投标人的基本资质要求的；</w:t>
            </w:r>
          </w:p>
          <w:p w14:paraId="3EBA8507">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投标人在投标文件中合同条款不能实质性满足招标文件要求的（有特殊约定的除外）；</w:t>
            </w:r>
          </w:p>
          <w:p w14:paraId="38181311">
            <w:pPr>
              <w:numPr>
                <w:ilvl w:val="0"/>
                <w:numId w:val="14"/>
              </w:numPr>
              <w:spacing w:line="360" w:lineRule="auto"/>
              <w:ind w:left="566" w:hanging="566"/>
              <w:rPr>
                <w:rFonts w:ascii="仿宋" w:hAnsi="仿宋" w:cs="仿宋"/>
                <w:color w:val="000000" w:themeColor="text1"/>
                <w:highlight w:val="none"/>
                <w14:textFill>
                  <w14:solidFill>
                    <w14:schemeClr w14:val="tx1"/>
                  </w14:solidFill>
                </w14:textFill>
              </w:rPr>
            </w:pPr>
          </w:p>
          <w:p w14:paraId="35CCF986">
            <w:pPr>
              <w:tabs>
                <w:tab w:val="left" w:pos="640"/>
              </w:tabs>
              <w:spacing w:line="360" w:lineRule="auto"/>
              <w:ind w:firstLine="240" w:firstLineChars="10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针对*项必须满足，其他项可以负偏离的情况：</w:t>
            </w:r>
          </w:p>
          <w:p w14:paraId="46BC5F54">
            <w:pPr>
              <w:pStyle w:val="32"/>
              <w:spacing w:after="0" w:line="360" w:lineRule="auto"/>
              <w:ind w:left="0" w:leftChars="0" w:firstLine="480"/>
              <w:rPr>
                <w:rFonts w:ascii="仿宋" w:hAnsi="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14:textFill>
                  <w14:solidFill>
                    <w14:schemeClr w14:val="tx1"/>
                  </w14:solidFill>
                </w14:textFill>
              </w:rPr>
              <w:t>□投标人在投标文件中不能实质性满足招标文件第五章《采购需求书》中标明“*”的条款要求。</w:t>
            </w:r>
          </w:p>
          <w:p w14:paraId="4B0A2A4F">
            <w:pPr>
              <w:pStyle w:val="32"/>
              <w:spacing w:after="0" w:line="360" w:lineRule="auto"/>
              <w:ind w:left="0" w:leftChars="0" w:firstLine="240" w:firstLineChars="100"/>
              <w:rPr>
                <w:rFonts w:ascii="仿宋" w:hAnsi="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14:textFill>
                  <w14:solidFill>
                    <w14:schemeClr w14:val="tx1"/>
                  </w14:solidFill>
                </w14:textFill>
              </w:rPr>
              <w:t>针对所有项均需满足，不接受负偏离的情况：</w:t>
            </w:r>
          </w:p>
          <w:p w14:paraId="15E8F6B0">
            <w:pPr>
              <w:pStyle w:val="32"/>
              <w:spacing w:after="0" w:line="360" w:lineRule="auto"/>
              <w:ind w:left="0" w:leftChars="0" w:firstLine="480"/>
              <w:rPr>
                <w:rFonts w:ascii="仿宋" w:hAnsi="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lang w:eastAsia="zh-CN"/>
                <w14:textFill>
                  <w14:solidFill>
                    <w14:schemeClr w14:val="tx1"/>
                  </w14:solidFill>
                </w14:textFill>
              </w:rPr>
              <w:t>☑</w:t>
            </w:r>
            <w:r>
              <w:rPr>
                <w:rFonts w:hint="eastAsia" w:ascii="仿宋" w:hAnsi="仿宋" w:cs="仿宋"/>
                <w:color w:val="000000" w:themeColor="text1"/>
                <w:sz w:val="24"/>
                <w:szCs w:val="24"/>
                <w:highlight w:val="none"/>
                <w14:textFill>
                  <w14:solidFill>
                    <w14:schemeClr w14:val="tx1"/>
                  </w14:solidFill>
                </w14:textFill>
              </w:rPr>
              <w:t>投标人在投标文件中不能实质性满足招标文件第五章《采购需求书》中的条款要求。</w:t>
            </w:r>
          </w:p>
          <w:p w14:paraId="282FAE6B">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 xml:space="preserve"> 投标人未提交投标保证金或金额不足、投标保证金形式或内容不符合招标文件要求的；</w:t>
            </w:r>
          </w:p>
          <w:p w14:paraId="4076CC9F">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资格证明文件不全、失效或不符合招标文件要求的；</w:t>
            </w:r>
          </w:p>
          <w:p w14:paraId="330A24E0">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投标文件未按招标文件要求由法定代表人（或单位负责人）签字或签章，或签字人无法定代表人（或单位负责人）有效授权的；</w:t>
            </w:r>
          </w:p>
          <w:p w14:paraId="5DB477DE">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投标文件未按招标文件要求加盖投标人公章，或加盖的专用章无公章有效授权的；</w:t>
            </w:r>
          </w:p>
          <w:p w14:paraId="0D480030">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投标总报价小于等于零的或投标总报价低于成本价且为恶性竞争的；</w:t>
            </w:r>
          </w:p>
          <w:p w14:paraId="10896770">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投标文件或投标有效期不足的；</w:t>
            </w:r>
          </w:p>
          <w:p w14:paraId="4CF79CE0">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投标文件中提供虚假或失实资料的；</w:t>
            </w:r>
          </w:p>
          <w:p w14:paraId="5600EBD7">
            <w:pPr>
              <w:numPr>
                <w:ilvl w:val="0"/>
                <w:numId w:val="14"/>
              </w:numPr>
              <w:tabs>
                <w:tab w:val="left" w:pos="640"/>
              </w:tabs>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未按照招标文件规定的方式领取招标文件并按要求递交投标文件的；</w:t>
            </w:r>
          </w:p>
          <w:p w14:paraId="20FA8205">
            <w:pPr>
              <w:numPr>
                <w:ilvl w:val="0"/>
                <w:numId w:val="14"/>
              </w:numPr>
              <w:tabs>
                <w:tab w:val="left" w:pos="640"/>
              </w:tabs>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如招标文件规定最高限价或预算时，报价超过最高限价或预算的；</w:t>
            </w:r>
          </w:p>
          <w:p w14:paraId="13483F05">
            <w:p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评标委员会认为不能实质上满足招标文件其他要求的或投标文件中附有招标人不能接受的条件的。</w:t>
            </w:r>
          </w:p>
          <w:p w14:paraId="51A2533E">
            <w:pPr>
              <w:numPr>
                <w:ilvl w:val="0"/>
                <w:numId w:val="14"/>
              </w:numPr>
              <w:tabs>
                <w:tab w:val="left" w:pos="640"/>
              </w:tabs>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评标委员会认为不能实质上满足招标文件其他要求的或投标文件中附有招标人不能接受的条件的。</w:t>
            </w:r>
          </w:p>
        </w:tc>
      </w:tr>
      <w:tr w14:paraId="1033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CE9DD76">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15</w:t>
            </w:r>
          </w:p>
        </w:tc>
        <w:tc>
          <w:tcPr>
            <w:tcW w:w="945" w:type="dxa"/>
            <w:tcBorders>
              <w:top w:val="single" w:color="auto" w:sz="4" w:space="0"/>
              <w:left w:val="nil"/>
              <w:bottom w:val="single" w:color="auto" w:sz="4" w:space="0"/>
              <w:right w:val="single" w:color="auto" w:sz="4" w:space="0"/>
            </w:tcBorders>
            <w:vAlign w:val="center"/>
          </w:tcPr>
          <w:p w14:paraId="03A6966C">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19.7</w:t>
            </w:r>
          </w:p>
        </w:tc>
        <w:tc>
          <w:tcPr>
            <w:tcW w:w="1778" w:type="dxa"/>
            <w:tcBorders>
              <w:top w:val="single" w:color="auto" w:sz="4" w:space="0"/>
              <w:left w:val="nil"/>
              <w:bottom w:val="single" w:color="auto" w:sz="4" w:space="0"/>
              <w:right w:val="single" w:color="auto" w:sz="4" w:space="0"/>
            </w:tcBorders>
            <w:vAlign w:val="center"/>
          </w:tcPr>
          <w:p w14:paraId="20E1A9D2">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投标人资质文件原件的审查</w:t>
            </w:r>
          </w:p>
        </w:tc>
        <w:tc>
          <w:tcPr>
            <w:tcW w:w="4933" w:type="dxa"/>
            <w:tcBorders>
              <w:top w:val="single" w:color="auto" w:sz="4" w:space="0"/>
              <w:left w:val="nil"/>
              <w:bottom w:val="single" w:color="auto" w:sz="4" w:space="0"/>
              <w:right w:val="single" w:color="auto" w:sz="4" w:space="0"/>
            </w:tcBorders>
            <w:vAlign w:val="center"/>
          </w:tcPr>
          <w:p w14:paraId="4FE40A57">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将可能要求投标人提供投标文件中资质文件的原件进行审查。若发现投标人递交的投标文件中的资质文件与原件有不符的情况，将有可能导致响应被拒绝。</w:t>
            </w:r>
          </w:p>
        </w:tc>
      </w:tr>
      <w:tr w14:paraId="0F47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E93ECBB">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16</w:t>
            </w:r>
          </w:p>
        </w:tc>
        <w:tc>
          <w:tcPr>
            <w:tcW w:w="945" w:type="dxa"/>
            <w:tcBorders>
              <w:top w:val="single" w:color="auto" w:sz="4" w:space="0"/>
              <w:left w:val="nil"/>
              <w:bottom w:val="single" w:color="auto" w:sz="4" w:space="0"/>
              <w:right w:val="single" w:color="auto" w:sz="4" w:space="0"/>
            </w:tcBorders>
            <w:vAlign w:val="center"/>
          </w:tcPr>
          <w:p w14:paraId="60E8F24A">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20</w:t>
            </w:r>
          </w:p>
        </w:tc>
        <w:tc>
          <w:tcPr>
            <w:tcW w:w="1778" w:type="dxa"/>
            <w:tcBorders>
              <w:top w:val="single" w:color="auto" w:sz="4" w:space="0"/>
              <w:left w:val="nil"/>
              <w:bottom w:val="single" w:color="auto" w:sz="4" w:space="0"/>
              <w:right w:val="single" w:color="auto" w:sz="4" w:space="0"/>
            </w:tcBorders>
            <w:vAlign w:val="center"/>
          </w:tcPr>
          <w:p w14:paraId="48C8E42D">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评标</w:t>
            </w:r>
          </w:p>
        </w:tc>
        <w:tc>
          <w:tcPr>
            <w:tcW w:w="4933" w:type="dxa"/>
            <w:tcBorders>
              <w:top w:val="single" w:color="auto" w:sz="4" w:space="0"/>
              <w:left w:val="nil"/>
              <w:bottom w:val="single" w:color="auto" w:sz="4" w:space="0"/>
              <w:right w:val="single" w:color="auto" w:sz="4" w:space="0"/>
            </w:tcBorders>
            <w:vAlign w:val="center"/>
          </w:tcPr>
          <w:p w14:paraId="515AF57D">
            <w:pPr>
              <w:numPr>
                <w:ilvl w:val="0"/>
                <w:numId w:val="1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评标委员会将按照本须知第20条规定对投标文件进行评价和比较。</w:t>
            </w:r>
          </w:p>
          <w:p w14:paraId="2767EDDA">
            <w:pPr>
              <w:numPr>
                <w:ilvl w:val="0"/>
                <w:numId w:val="1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评标委员会在评标时，将采用综合评标法并考虑以下因素：</w:t>
            </w:r>
          </w:p>
          <w:p w14:paraId="542EB160">
            <w:p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注：具体评标办法详见第三章《评标办法》。</w:t>
            </w:r>
          </w:p>
          <w:p w14:paraId="5347F099">
            <w:pPr>
              <w:numPr>
                <w:ilvl w:val="0"/>
                <w:numId w:val="1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评标委员会将根据综合评估结果，对各投标人按综合得分从高到低排序，并按综合得分排序顺序推荐中标候选人。</w:t>
            </w:r>
          </w:p>
        </w:tc>
      </w:tr>
      <w:tr w14:paraId="05B7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AA0FFE">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17</w:t>
            </w:r>
          </w:p>
        </w:tc>
        <w:tc>
          <w:tcPr>
            <w:tcW w:w="945" w:type="dxa"/>
            <w:tcBorders>
              <w:top w:val="single" w:color="auto" w:sz="4" w:space="0"/>
              <w:left w:val="nil"/>
              <w:bottom w:val="single" w:color="auto" w:sz="4" w:space="0"/>
              <w:right w:val="single" w:color="auto" w:sz="4" w:space="0"/>
            </w:tcBorders>
            <w:vAlign w:val="center"/>
          </w:tcPr>
          <w:p w14:paraId="553C216A">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22.1</w:t>
            </w:r>
          </w:p>
        </w:tc>
        <w:tc>
          <w:tcPr>
            <w:tcW w:w="1778" w:type="dxa"/>
            <w:tcBorders>
              <w:top w:val="single" w:color="auto" w:sz="4" w:space="0"/>
              <w:left w:val="nil"/>
              <w:bottom w:val="single" w:color="auto" w:sz="4" w:space="0"/>
              <w:right w:val="single" w:color="auto" w:sz="4" w:space="0"/>
            </w:tcBorders>
            <w:vAlign w:val="center"/>
          </w:tcPr>
          <w:p w14:paraId="7F86ADA4">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中标人数量</w:t>
            </w:r>
          </w:p>
        </w:tc>
        <w:tc>
          <w:tcPr>
            <w:tcW w:w="4933" w:type="dxa"/>
            <w:tcBorders>
              <w:top w:val="single" w:color="auto" w:sz="4" w:space="0"/>
              <w:left w:val="nil"/>
              <w:bottom w:val="single" w:color="auto" w:sz="4" w:space="0"/>
              <w:right w:val="single" w:color="auto" w:sz="4" w:space="0"/>
            </w:tcBorders>
            <w:vAlign w:val="center"/>
          </w:tcPr>
          <w:p w14:paraId="3DFE72DF">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1</w:t>
            </w:r>
            <w:r>
              <w:rPr>
                <w:rFonts w:hint="eastAsia" w:ascii="仿宋" w:hAnsi="仿宋" w:cs="仿宋"/>
                <w:color w:val="000000" w:themeColor="text1"/>
                <w:highlight w:val="none"/>
                <w14:textFill>
                  <w14:solidFill>
                    <w14:schemeClr w14:val="tx1"/>
                  </w14:solidFill>
                </w14:textFill>
              </w:rPr>
              <w:t>名中标人。</w:t>
            </w:r>
          </w:p>
        </w:tc>
      </w:tr>
      <w:tr w14:paraId="3918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2B1F965">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18</w:t>
            </w:r>
          </w:p>
        </w:tc>
        <w:tc>
          <w:tcPr>
            <w:tcW w:w="945" w:type="dxa"/>
            <w:tcBorders>
              <w:top w:val="single" w:color="auto" w:sz="4" w:space="0"/>
              <w:left w:val="nil"/>
              <w:bottom w:val="single" w:color="auto" w:sz="4" w:space="0"/>
              <w:right w:val="single" w:color="auto" w:sz="4" w:space="0"/>
            </w:tcBorders>
            <w:vAlign w:val="center"/>
          </w:tcPr>
          <w:p w14:paraId="77B1438E">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24.3</w:t>
            </w:r>
          </w:p>
        </w:tc>
        <w:tc>
          <w:tcPr>
            <w:tcW w:w="1778" w:type="dxa"/>
            <w:tcBorders>
              <w:top w:val="single" w:color="auto" w:sz="4" w:space="0"/>
              <w:left w:val="nil"/>
              <w:bottom w:val="single" w:color="auto" w:sz="4" w:space="0"/>
              <w:right w:val="single" w:color="auto" w:sz="4" w:space="0"/>
            </w:tcBorders>
            <w:vAlign w:val="center"/>
          </w:tcPr>
          <w:p w14:paraId="45408F0C">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招标代理</w:t>
            </w:r>
          </w:p>
          <w:p w14:paraId="56DA919D">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服务费</w:t>
            </w:r>
          </w:p>
        </w:tc>
        <w:tc>
          <w:tcPr>
            <w:tcW w:w="4933" w:type="dxa"/>
            <w:tcBorders>
              <w:top w:val="single" w:color="auto" w:sz="4" w:space="0"/>
              <w:left w:val="nil"/>
              <w:bottom w:val="single" w:color="auto" w:sz="4" w:space="0"/>
              <w:right w:val="single" w:color="auto" w:sz="4" w:space="0"/>
            </w:tcBorders>
            <w:vAlign w:val="center"/>
          </w:tcPr>
          <w:p w14:paraId="47634435">
            <w:pPr>
              <w:spacing w:line="360" w:lineRule="auto"/>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本次招标的招标代理服务费由中标人支付，支付金额</w:t>
            </w:r>
            <w:r>
              <w:rPr>
                <w:rFonts w:hint="eastAsia" w:ascii="宋体" w:hAnsi="宋体"/>
                <w:b w:val="0"/>
                <w:bCs/>
                <w:color w:val="000000" w:themeColor="text1"/>
                <w:szCs w:val="21"/>
                <w:highlight w:val="none"/>
                <w14:textFill>
                  <w14:solidFill>
                    <w14:schemeClr w14:val="tx1"/>
                  </w14:solidFill>
                </w14:textFill>
              </w:rPr>
              <w:t>根据不同的标的物按下表列明的费率标准</w:t>
            </w:r>
            <w:r>
              <w:rPr>
                <w:rFonts w:hint="eastAsia" w:ascii="宋体" w:hAnsi="宋体"/>
                <w:b w:val="0"/>
                <w:bCs/>
                <w:color w:val="000000" w:themeColor="text1"/>
                <w:szCs w:val="21"/>
                <w:highlight w:val="none"/>
                <w:lang w:eastAsia="zh-CN"/>
                <w14:textFill>
                  <w14:solidFill>
                    <w14:schemeClr w14:val="tx1"/>
                  </w14:solidFill>
                </w14:textFill>
              </w:rPr>
              <w:t>的</w:t>
            </w:r>
            <w:r>
              <w:rPr>
                <w:rFonts w:hint="eastAsia" w:ascii="宋体" w:hAnsi="宋体"/>
                <w:b w:val="0"/>
                <w:bCs/>
                <w:color w:val="000000" w:themeColor="text1"/>
                <w:szCs w:val="21"/>
                <w:highlight w:val="none"/>
                <w:lang w:val="en-US" w:eastAsia="zh-CN"/>
                <w14:textFill>
                  <w14:solidFill>
                    <w14:schemeClr w14:val="tx1"/>
                  </w14:solidFill>
                </w14:textFill>
              </w:rPr>
              <w:t>60%计算。</w:t>
            </w:r>
          </w:p>
          <w:p w14:paraId="6B435925">
            <w:pPr>
              <w:widowControl/>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费率表：</w:t>
            </w:r>
          </w:p>
          <w:tbl>
            <w:tblPr>
              <w:tblStyle w:val="33"/>
              <w:tblW w:w="5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1274"/>
              <w:gridCol w:w="1276"/>
            </w:tblGrid>
            <w:tr w14:paraId="7C7B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76" w:type="dxa"/>
                  <w:shd w:val="clear" w:color="auto" w:fill="auto"/>
                  <w:vAlign w:val="top"/>
                </w:tcPr>
                <w:p w14:paraId="27BC3621">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中标金额（万元）</w:t>
                  </w:r>
                </w:p>
              </w:tc>
              <w:tc>
                <w:tcPr>
                  <w:tcW w:w="1276" w:type="dxa"/>
                  <w:shd w:val="clear" w:color="auto" w:fill="auto"/>
                  <w:vAlign w:val="top"/>
                </w:tcPr>
                <w:p w14:paraId="071D7140">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货物招标(费率)</w:t>
                  </w:r>
                </w:p>
              </w:tc>
              <w:tc>
                <w:tcPr>
                  <w:tcW w:w="1274" w:type="dxa"/>
                  <w:shd w:val="clear" w:color="auto" w:fill="auto"/>
                  <w:vAlign w:val="top"/>
                </w:tcPr>
                <w:p w14:paraId="2AD89AA0">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服务招标（费率）</w:t>
                  </w:r>
                </w:p>
              </w:tc>
              <w:tc>
                <w:tcPr>
                  <w:tcW w:w="1276" w:type="dxa"/>
                  <w:shd w:val="clear" w:color="auto" w:fill="auto"/>
                  <w:vAlign w:val="top"/>
                </w:tcPr>
                <w:p w14:paraId="3CC389C6">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工程招标（费率）</w:t>
                  </w:r>
                </w:p>
              </w:tc>
            </w:tr>
            <w:tr w14:paraId="46E7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top"/>
                </w:tcPr>
                <w:p w14:paraId="5012B545">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100以下</w:t>
                  </w:r>
                </w:p>
              </w:tc>
              <w:tc>
                <w:tcPr>
                  <w:tcW w:w="1276" w:type="dxa"/>
                  <w:shd w:val="clear" w:color="auto" w:fill="auto"/>
                  <w:vAlign w:val="top"/>
                </w:tcPr>
                <w:p w14:paraId="4E67520E">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1.5%</w:t>
                  </w:r>
                </w:p>
              </w:tc>
              <w:tc>
                <w:tcPr>
                  <w:tcW w:w="1274" w:type="dxa"/>
                  <w:shd w:val="clear" w:color="auto" w:fill="auto"/>
                  <w:vAlign w:val="top"/>
                </w:tcPr>
                <w:p w14:paraId="531FA80A">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1.5%</w:t>
                  </w:r>
                </w:p>
              </w:tc>
              <w:tc>
                <w:tcPr>
                  <w:tcW w:w="1276" w:type="dxa"/>
                  <w:shd w:val="clear" w:color="auto" w:fill="auto"/>
                  <w:vAlign w:val="top"/>
                </w:tcPr>
                <w:p w14:paraId="40914EA2">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1.0%</w:t>
                  </w:r>
                </w:p>
              </w:tc>
            </w:tr>
            <w:tr w14:paraId="7FB5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top"/>
                </w:tcPr>
                <w:p w14:paraId="6F8592E4">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100-500</w:t>
                  </w:r>
                </w:p>
              </w:tc>
              <w:tc>
                <w:tcPr>
                  <w:tcW w:w="1276" w:type="dxa"/>
                  <w:shd w:val="clear" w:color="auto" w:fill="auto"/>
                  <w:vAlign w:val="top"/>
                </w:tcPr>
                <w:p w14:paraId="31CB0F93">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1.1%</w:t>
                  </w:r>
                </w:p>
              </w:tc>
              <w:tc>
                <w:tcPr>
                  <w:tcW w:w="1274" w:type="dxa"/>
                  <w:shd w:val="clear" w:color="auto" w:fill="auto"/>
                  <w:vAlign w:val="top"/>
                </w:tcPr>
                <w:p w14:paraId="3758F960">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0.8%</w:t>
                  </w:r>
                </w:p>
              </w:tc>
              <w:tc>
                <w:tcPr>
                  <w:tcW w:w="1276" w:type="dxa"/>
                  <w:shd w:val="clear" w:color="auto" w:fill="auto"/>
                  <w:vAlign w:val="top"/>
                </w:tcPr>
                <w:p w14:paraId="1697553B">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0.7%</w:t>
                  </w:r>
                </w:p>
              </w:tc>
            </w:tr>
            <w:tr w14:paraId="0767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top"/>
                </w:tcPr>
                <w:p w14:paraId="6A856B22">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500-1000</w:t>
                  </w:r>
                </w:p>
              </w:tc>
              <w:tc>
                <w:tcPr>
                  <w:tcW w:w="1276" w:type="dxa"/>
                  <w:shd w:val="clear" w:color="auto" w:fill="auto"/>
                  <w:vAlign w:val="top"/>
                </w:tcPr>
                <w:p w14:paraId="3C3960C4">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0.8%</w:t>
                  </w:r>
                </w:p>
              </w:tc>
              <w:tc>
                <w:tcPr>
                  <w:tcW w:w="1274" w:type="dxa"/>
                  <w:shd w:val="clear" w:color="auto" w:fill="auto"/>
                  <w:vAlign w:val="top"/>
                </w:tcPr>
                <w:p w14:paraId="674CC281">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0.45%</w:t>
                  </w:r>
                </w:p>
              </w:tc>
              <w:tc>
                <w:tcPr>
                  <w:tcW w:w="1276" w:type="dxa"/>
                  <w:shd w:val="clear" w:color="auto" w:fill="auto"/>
                  <w:vAlign w:val="top"/>
                </w:tcPr>
                <w:p w14:paraId="291130A8">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0.55%</w:t>
                  </w:r>
                </w:p>
              </w:tc>
            </w:tr>
            <w:tr w14:paraId="128D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top"/>
                </w:tcPr>
                <w:p w14:paraId="5BEC4B7D">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1000-5000</w:t>
                  </w:r>
                </w:p>
              </w:tc>
              <w:tc>
                <w:tcPr>
                  <w:tcW w:w="1276" w:type="dxa"/>
                  <w:shd w:val="clear" w:color="auto" w:fill="auto"/>
                  <w:vAlign w:val="top"/>
                </w:tcPr>
                <w:p w14:paraId="4AE6C350">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0.5%</w:t>
                  </w:r>
                </w:p>
              </w:tc>
              <w:tc>
                <w:tcPr>
                  <w:tcW w:w="1274" w:type="dxa"/>
                  <w:shd w:val="clear" w:color="auto" w:fill="auto"/>
                  <w:vAlign w:val="top"/>
                </w:tcPr>
                <w:p w14:paraId="4BC5A3DF">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0.25%</w:t>
                  </w:r>
                </w:p>
              </w:tc>
              <w:tc>
                <w:tcPr>
                  <w:tcW w:w="1276" w:type="dxa"/>
                  <w:shd w:val="clear" w:color="auto" w:fill="auto"/>
                  <w:vAlign w:val="top"/>
                </w:tcPr>
                <w:p w14:paraId="18C038D6">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0.35%</w:t>
                  </w:r>
                </w:p>
              </w:tc>
            </w:tr>
            <w:tr w14:paraId="0F94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top"/>
                </w:tcPr>
                <w:p w14:paraId="44B7993F">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5000-10000</w:t>
                  </w:r>
                </w:p>
              </w:tc>
              <w:tc>
                <w:tcPr>
                  <w:tcW w:w="1276" w:type="dxa"/>
                  <w:shd w:val="clear" w:color="auto" w:fill="auto"/>
                  <w:vAlign w:val="top"/>
                </w:tcPr>
                <w:p w14:paraId="0831204B">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0.25%</w:t>
                  </w:r>
                </w:p>
              </w:tc>
              <w:tc>
                <w:tcPr>
                  <w:tcW w:w="1274" w:type="dxa"/>
                  <w:shd w:val="clear" w:color="auto" w:fill="auto"/>
                  <w:vAlign w:val="top"/>
                </w:tcPr>
                <w:p w14:paraId="2F6E507F">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0.1%</w:t>
                  </w:r>
                </w:p>
              </w:tc>
              <w:tc>
                <w:tcPr>
                  <w:tcW w:w="1276" w:type="dxa"/>
                  <w:shd w:val="clear" w:color="auto" w:fill="auto"/>
                  <w:vAlign w:val="top"/>
                </w:tcPr>
                <w:p w14:paraId="5625CA0B">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0.2%</w:t>
                  </w:r>
                </w:p>
              </w:tc>
            </w:tr>
            <w:tr w14:paraId="684B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top"/>
                </w:tcPr>
                <w:p w14:paraId="77B85889">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10000-100000</w:t>
                  </w:r>
                </w:p>
              </w:tc>
              <w:tc>
                <w:tcPr>
                  <w:tcW w:w="1276" w:type="dxa"/>
                  <w:shd w:val="clear" w:color="auto" w:fill="auto"/>
                  <w:vAlign w:val="top"/>
                </w:tcPr>
                <w:p w14:paraId="704B9B94">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0.05%</w:t>
                  </w:r>
                </w:p>
              </w:tc>
              <w:tc>
                <w:tcPr>
                  <w:tcW w:w="1274" w:type="dxa"/>
                  <w:shd w:val="clear" w:color="auto" w:fill="auto"/>
                  <w:vAlign w:val="top"/>
                </w:tcPr>
                <w:p w14:paraId="6C084306">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0.05%</w:t>
                  </w:r>
                </w:p>
              </w:tc>
              <w:tc>
                <w:tcPr>
                  <w:tcW w:w="1276" w:type="dxa"/>
                  <w:shd w:val="clear" w:color="auto" w:fill="auto"/>
                  <w:vAlign w:val="top"/>
                </w:tcPr>
                <w:p w14:paraId="6BFF5FBC">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0.05%</w:t>
                  </w:r>
                </w:p>
              </w:tc>
            </w:tr>
            <w:tr w14:paraId="1CD9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top"/>
                </w:tcPr>
                <w:p w14:paraId="00D7F1BC">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1000000以上</w:t>
                  </w:r>
                </w:p>
              </w:tc>
              <w:tc>
                <w:tcPr>
                  <w:tcW w:w="1276" w:type="dxa"/>
                  <w:shd w:val="clear" w:color="auto" w:fill="auto"/>
                  <w:vAlign w:val="top"/>
                </w:tcPr>
                <w:p w14:paraId="138FBF50">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0.01%</w:t>
                  </w:r>
                </w:p>
              </w:tc>
              <w:tc>
                <w:tcPr>
                  <w:tcW w:w="1274" w:type="dxa"/>
                  <w:shd w:val="clear" w:color="auto" w:fill="auto"/>
                  <w:vAlign w:val="top"/>
                </w:tcPr>
                <w:p w14:paraId="58C3CC69">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0.01%</w:t>
                  </w:r>
                </w:p>
              </w:tc>
              <w:tc>
                <w:tcPr>
                  <w:tcW w:w="1276" w:type="dxa"/>
                  <w:shd w:val="clear" w:color="auto" w:fill="auto"/>
                  <w:vAlign w:val="top"/>
                </w:tcPr>
                <w:p w14:paraId="0DD8C184">
                  <w:pPr>
                    <w:jc w:val="center"/>
                    <w:rPr>
                      <w:rFonts w:hint="eastAsia" w:ascii="仿宋" w:hAnsi="仿宋" w:cs="仿宋"/>
                      <w:color w:val="000000" w:themeColor="text1"/>
                      <w:sz w:val="18"/>
                      <w:szCs w:val="18"/>
                      <w:highlight w:val="none"/>
                      <w14:textFill>
                        <w14:solidFill>
                          <w14:schemeClr w14:val="tx1"/>
                        </w14:solidFill>
                      </w14:textFill>
                    </w:rPr>
                  </w:pPr>
                  <w:r>
                    <w:rPr>
                      <w:rFonts w:hint="eastAsia" w:ascii="仿宋" w:hAnsi="仿宋" w:cs="仿宋"/>
                      <w:color w:val="000000" w:themeColor="text1"/>
                      <w:sz w:val="18"/>
                      <w:szCs w:val="18"/>
                      <w:highlight w:val="none"/>
                      <w14:textFill>
                        <w14:solidFill>
                          <w14:schemeClr w14:val="tx1"/>
                        </w14:solidFill>
                      </w14:textFill>
                    </w:rPr>
                    <w:t>0.01%</w:t>
                  </w:r>
                </w:p>
              </w:tc>
            </w:tr>
          </w:tbl>
          <w:p w14:paraId="41F520AC">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以上收费按差额定率累进法，并根据实际中标金额计算。</w:t>
            </w:r>
          </w:p>
          <w:p w14:paraId="69F0716D">
            <w:pPr>
              <w:spacing w:line="360" w:lineRule="auto"/>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代理费收取账号信息：</w:t>
            </w:r>
          </w:p>
          <w:p w14:paraId="613BD0A9">
            <w:pPr>
              <w:spacing w:line="360" w:lineRule="auto"/>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账户名称：</w:t>
            </w:r>
            <w:r>
              <w:rPr>
                <w:rFonts w:ascii="Arial" w:hAnsi="Arial" w:cs="Arial"/>
                <w:color w:val="000000" w:themeColor="text1"/>
                <w:sz w:val="24"/>
                <w:highlight w:val="none"/>
                <w14:textFill>
                  <w14:solidFill>
                    <w14:schemeClr w14:val="tx1"/>
                  </w14:solidFill>
                </w14:textFill>
              </w:rPr>
              <w:t>青海诚容工程项目管理有限责任公司</w:t>
            </w:r>
          </w:p>
          <w:p w14:paraId="2E1F2128">
            <w:pPr>
              <w:spacing w:line="360" w:lineRule="auto"/>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开户银行：</w:t>
            </w:r>
            <w:r>
              <w:rPr>
                <w:rFonts w:ascii="Arial" w:hAnsi="Arial" w:cs="Arial"/>
                <w:color w:val="000000" w:themeColor="text1"/>
                <w:sz w:val="24"/>
                <w:highlight w:val="none"/>
                <w14:textFill>
                  <w14:solidFill>
                    <w14:schemeClr w14:val="tx1"/>
                  </w14:solidFill>
                </w14:textFill>
              </w:rPr>
              <w:t>中国建设银行股份有限公司青海电力支行</w:t>
            </w:r>
          </w:p>
          <w:p w14:paraId="20D9BDEA">
            <w:pPr>
              <w:spacing w:line="360" w:lineRule="auto"/>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帐号：</w:t>
            </w:r>
            <w:r>
              <w:rPr>
                <w:rFonts w:hint="eastAsia" w:ascii="仿宋" w:hAnsi="仿宋" w:cs="仿宋"/>
                <w:color w:val="000000" w:themeColor="text1"/>
                <w:highlight w:val="none"/>
                <w:lang w:eastAsia="zh-CN"/>
                <w14:textFill>
                  <w14:solidFill>
                    <w14:schemeClr w14:val="tx1"/>
                  </w14:solidFill>
                </w14:textFill>
              </w:rPr>
              <w:t>63001883637050209715</w:t>
            </w:r>
          </w:p>
          <w:p w14:paraId="4B3B1EB5">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行号：</w:t>
            </w:r>
            <w:r>
              <w:rPr>
                <w:rFonts w:hint="eastAsia" w:ascii="仿宋" w:hAnsi="仿宋" w:cs="仿宋"/>
                <w:color w:val="000000" w:themeColor="text1"/>
                <w:highlight w:val="none"/>
                <w:lang w:val="en-US" w:eastAsia="zh-CN"/>
                <w14:textFill>
                  <w14:solidFill>
                    <w14:schemeClr w14:val="tx1"/>
                  </w14:solidFill>
                </w14:textFill>
              </w:rPr>
              <w:t>105851001101</w:t>
            </w:r>
          </w:p>
        </w:tc>
      </w:tr>
      <w:tr w14:paraId="7DBF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2F97C3E">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19</w:t>
            </w:r>
          </w:p>
        </w:tc>
        <w:tc>
          <w:tcPr>
            <w:tcW w:w="945" w:type="dxa"/>
            <w:tcBorders>
              <w:top w:val="single" w:color="auto" w:sz="4" w:space="0"/>
              <w:left w:val="nil"/>
              <w:bottom w:val="single" w:color="auto" w:sz="4" w:space="0"/>
              <w:right w:val="single" w:color="auto" w:sz="4" w:space="0"/>
            </w:tcBorders>
            <w:vAlign w:val="center"/>
          </w:tcPr>
          <w:p w14:paraId="4C36CCAE">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26</w:t>
            </w:r>
          </w:p>
        </w:tc>
        <w:tc>
          <w:tcPr>
            <w:tcW w:w="1778" w:type="dxa"/>
            <w:tcBorders>
              <w:top w:val="single" w:color="auto" w:sz="4" w:space="0"/>
              <w:left w:val="nil"/>
              <w:bottom w:val="single" w:color="auto" w:sz="4" w:space="0"/>
              <w:right w:val="single" w:color="auto" w:sz="4" w:space="0"/>
            </w:tcBorders>
            <w:vAlign w:val="center"/>
          </w:tcPr>
          <w:p w14:paraId="6145A696">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履约保证金</w:t>
            </w:r>
          </w:p>
        </w:tc>
        <w:tc>
          <w:tcPr>
            <w:tcW w:w="4933" w:type="dxa"/>
            <w:tcBorders>
              <w:top w:val="single" w:color="auto" w:sz="4" w:space="0"/>
              <w:left w:val="nil"/>
              <w:bottom w:val="single" w:color="auto" w:sz="4" w:space="0"/>
              <w:right w:val="single" w:color="auto" w:sz="4" w:space="0"/>
            </w:tcBorders>
            <w:vAlign w:val="center"/>
          </w:tcPr>
          <w:p w14:paraId="4255D89D">
            <w:pPr>
              <w:spacing w:line="360" w:lineRule="auto"/>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本项目不需提交履约保证金。</w:t>
            </w:r>
          </w:p>
        </w:tc>
      </w:tr>
      <w:tr w14:paraId="6F9D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001127E">
            <w:pPr>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20</w:t>
            </w:r>
          </w:p>
        </w:tc>
        <w:tc>
          <w:tcPr>
            <w:tcW w:w="945" w:type="dxa"/>
            <w:tcBorders>
              <w:top w:val="single" w:color="auto" w:sz="4" w:space="0"/>
              <w:left w:val="nil"/>
              <w:bottom w:val="single" w:color="auto" w:sz="4" w:space="0"/>
              <w:right w:val="single" w:color="auto" w:sz="4" w:space="0"/>
            </w:tcBorders>
            <w:vAlign w:val="center"/>
          </w:tcPr>
          <w:p w14:paraId="567CC4D6">
            <w:pPr>
              <w:spacing w:line="360" w:lineRule="auto"/>
              <w:jc w:val="center"/>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w:t>
            </w:r>
          </w:p>
        </w:tc>
        <w:tc>
          <w:tcPr>
            <w:tcW w:w="1778" w:type="dxa"/>
            <w:tcBorders>
              <w:top w:val="single" w:color="auto" w:sz="4" w:space="0"/>
              <w:left w:val="nil"/>
              <w:bottom w:val="single" w:color="auto" w:sz="4" w:space="0"/>
              <w:right w:val="single" w:color="auto" w:sz="4" w:space="0"/>
            </w:tcBorders>
            <w:vAlign w:val="center"/>
          </w:tcPr>
          <w:p w14:paraId="48EAC8BF">
            <w:pPr>
              <w:spacing w:line="360" w:lineRule="auto"/>
              <w:jc w:val="center"/>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w:t>
            </w:r>
          </w:p>
        </w:tc>
        <w:tc>
          <w:tcPr>
            <w:tcW w:w="4933" w:type="dxa"/>
            <w:tcBorders>
              <w:top w:val="single" w:color="auto" w:sz="4" w:space="0"/>
              <w:left w:val="nil"/>
              <w:bottom w:val="single" w:color="auto" w:sz="4" w:space="0"/>
              <w:right w:val="single" w:color="auto" w:sz="4" w:space="0"/>
            </w:tcBorders>
            <w:vAlign w:val="center"/>
          </w:tcPr>
          <w:p w14:paraId="504DAFA0">
            <w:pPr>
              <w:numPr>
                <w:ilvl w:val="0"/>
                <w:numId w:val="16"/>
              </w:numPr>
              <w:spacing w:line="312"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是否接受联合体投标：■否  □是</w:t>
            </w:r>
          </w:p>
          <w:p w14:paraId="652D4715">
            <w:pPr>
              <w:numPr>
                <w:ilvl w:val="0"/>
                <w:numId w:val="16"/>
              </w:numPr>
              <w:spacing w:line="312"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是否需要提交样品：■否  □是</w:t>
            </w:r>
          </w:p>
          <w:p w14:paraId="4A4FEAA1">
            <w:pPr>
              <w:numPr>
                <w:ilvl w:val="0"/>
                <w:numId w:val="16"/>
              </w:numPr>
              <w:spacing w:line="312"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是否在评标现场进行现场演示：■否  □是</w:t>
            </w:r>
          </w:p>
        </w:tc>
      </w:tr>
    </w:tbl>
    <w:p w14:paraId="1A0DECC4">
      <w:pPr>
        <w:spacing w:after="120" w:line="480" w:lineRule="auto"/>
        <w:jc w:val="center"/>
        <w:outlineLvl w:val="1"/>
        <w:rPr>
          <w:rStyle w:val="62"/>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cs="仿宋"/>
          <w:color w:val="000000" w:themeColor="text1"/>
          <w:sz w:val="32"/>
          <w:szCs w:val="32"/>
          <w:highlight w:val="none"/>
          <w14:textFill>
            <w14:solidFill>
              <w14:schemeClr w14:val="tx1"/>
            </w14:solidFill>
          </w14:textFill>
        </w:rPr>
        <w:br w:type="page"/>
      </w:r>
      <w:bookmarkStart w:id="116" w:name="_Toc28253"/>
      <w:bookmarkStart w:id="117" w:name="_Toc29243"/>
      <w:bookmarkStart w:id="118" w:name="_Toc21600"/>
      <w:bookmarkStart w:id="119" w:name="_Toc12120"/>
      <w:bookmarkStart w:id="120" w:name="_Toc1721"/>
      <w:bookmarkStart w:id="121" w:name="_Toc108796147"/>
      <w:bookmarkStart w:id="122" w:name="_Toc149230403"/>
      <w:bookmarkStart w:id="123" w:name="_Toc150933595"/>
      <w:bookmarkStart w:id="124" w:name="_Toc21639"/>
      <w:bookmarkStart w:id="125" w:name="_Toc6667"/>
      <w:bookmarkStart w:id="126" w:name="_Toc20133"/>
      <w:r>
        <w:rPr>
          <w:rStyle w:val="62"/>
          <w:rFonts w:hint="eastAsia" w:ascii="仿宋" w:hAnsi="仿宋" w:eastAsia="仿宋" w:cs="仿宋"/>
          <w:color w:val="000000" w:themeColor="text1"/>
          <w:sz w:val="36"/>
          <w:szCs w:val="36"/>
          <w:highlight w:val="none"/>
          <w14:textFill>
            <w14:solidFill>
              <w14:schemeClr w14:val="tx1"/>
            </w14:solidFill>
          </w14:textFill>
        </w:rPr>
        <w:t>投标人须知</w:t>
      </w:r>
      <w:bookmarkEnd w:id="116"/>
      <w:bookmarkEnd w:id="117"/>
      <w:bookmarkEnd w:id="118"/>
      <w:bookmarkEnd w:id="119"/>
      <w:bookmarkEnd w:id="120"/>
      <w:bookmarkEnd w:id="121"/>
      <w:bookmarkEnd w:id="122"/>
      <w:bookmarkEnd w:id="123"/>
      <w:bookmarkEnd w:id="124"/>
      <w:bookmarkEnd w:id="125"/>
      <w:bookmarkEnd w:id="126"/>
    </w:p>
    <w:p w14:paraId="466C9918">
      <w:pPr>
        <w:spacing w:line="360" w:lineRule="auto"/>
        <w:outlineLvl w:val="1"/>
        <w:rPr>
          <w:rFonts w:ascii="仿宋" w:hAnsi="仿宋" w:cs="仿宋"/>
          <w:b/>
          <w:bCs/>
          <w:color w:val="000000" w:themeColor="text1"/>
          <w:highlight w:val="none"/>
          <w14:textFill>
            <w14:solidFill>
              <w14:schemeClr w14:val="tx1"/>
            </w14:solidFill>
          </w14:textFill>
        </w:rPr>
      </w:pPr>
      <w:bookmarkStart w:id="127" w:name="_Toc149230404"/>
      <w:bookmarkStart w:id="128" w:name="_Toc32581"/>
      <w:bookmarkStart w:id="129" w:name="_Toc21463"/>
      <w:bookmarkStart w:id="130" w:name="_Toc150933596"/>
      <w:bookmarkStart w:id="131" w:name="_Toc108796148"/>
      <w:bookmarkStart w:id="132" w:name="_Toc1208"/>
      <w:r>
        <w:rPr>
          <w:rFonts w:hint="eastAsia" w:ascii="仿宋" w:hAnsi="仿宋" w:cs="仿宋"/>
          <w:b/>
          <w:bCs/>
          <w:color w:val="000000" w:themeColor="text1"/>
          <w:highlight w:val="none"/>
          <w14:textFill>
            <w14:solidFill>
              <w14:schemeClr w14:val="tx1"/>
            </w14:solidFill>
          </w14:textFill>
        </w:rPr>
        <w:t>一、说  明</w:t>
      </w:r>
      <w:bookmarkEnd w:id="127"/>
      <w:bookmarkEnd w:id="128"/>
      <w:bookmarkEnd w:id="129"/>
      <w:bookmarkEnd w:id="130"/>
      <w:bookmarkEnd w:id="131"/>
      <w:bookmarkEnd w:id="132"/>
    </w:p>
    <w:p w14:paraId="6A7C5954">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33" w:name="_Toc150933597"/>
      <w:bookmarkStart w:id="134" w:name="_Toc11354"/>
      <w:r>
        <w:rPr>
          <w:rFonts w:hint="eastAsia" w:ascii="仿宋" w:hAnsi="仿宋" w:cs="仿宋"/>
          <w:color w:val="000000" w:themeColor="text1"/>
          <w:highlight w:val="none"/>
          <w14:textFill>
            <w14:solidFill>
              <w14:schemeClr w14:val="tx1"/>
            </w14:solidFill>
          </w14:textFill>
        </w:rPr>
        <w:t>招标人及合格的投标人</w:t>
      </w:r>
      <w:bookmarkEnd w:id="133"/>
      <w:bookmarkEnd w:id="134"/>
    </w:p>
    <w:p w14:paraId="42646E67">
      <w:pPr>
        <w:numPr>
          <w:ilvl w:val="1"/>
          <w:numId w:val="18"/>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招标人是指提出国内采购货物或服务的国家机关、企业、事业单位或其它组织。本项目招标人（详见《投标人须知前附表》）。</w:t>
      </w:r>
    </w:p>
    <w:p w14:paraId="79B429F6">
      <w:pPr>
        <w:numPr>
          <w:ilvl w:val="1"/>
          <w:numId w:val="18"/>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招标代理机构是指招标人认定的从事国内、国际招标业务的法人或社会中介组织。本项目招标代理机构（详见《投标人须知前附表》）。</w:t>
      </w:r>
    </w:p>
    <w:p w14:paraId="57115181">
      <w:pPr>
        <w:numPr>
          <w:ilvl w:val="1"/>
          <w:numId w:val="18"/>
        </w:numPr>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合格的投标人（详见《投标人须知前附表》）。</w:t>
      </w:r>
    </w:p>
    <w:p w14:paraId="02CF8B1B">
      <w:pPr>
        <w:numPr>
          <w:ilvl w:val="1"/>
          <w:numId w:val="18"/>
        </w:numPr>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投标人在参与本项目中，对于招标人披露和提供的所有信息应作为商业秘密对待并予以保护，未经招标人授权不得将任何信息泄漏给第三方，否则招标人有权追究投标人的责任。</w:t>
      </w:r>
    </w:p>
    <w:p w14:paraId="0B734589">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35" w:name="_Toc150933598"/>
      <w:bookmarkStart w:id="136" w:name="_Toc16701"/>
      <w:r>
        <w:rPr>
          <w:rFonts w:hint="eastAsia" w:ascii="仿宋" w:hAnsi="仿宋" w:cs="仿宋"/>
          <w:color w:val="000000" w:themeColor="text1"/>
          <w:highlight w:val="none"/>
          <w14:textFill>
            <w14:solidFill>
              <w14:schemeClr w14:val="tx1"/>
            </w14:solidFill>
          </w14:textFill>
        </w:rPr>
        <w:t>费用</w:t>
      </w:r>
      <w:bookmarkEnd w:id="135"/>
      <w:bookmarkEnd w:id="136"/>
    </w:p>
    <w:p w14:paraId="431211DA">
      <w:pPr>
        <w:tabs>
          <w:tab w:val="left" w:pos="720"/>
        </w:tabs>
        <w:spacing w:before="120"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投标人应承担所有与准备和参加竞争有关的费用。不论结果如何，招标人均无义务和责任承担这些费用。 </w:t>
      </w:r>
    </w:p>
    <w:p w14:paraId="449E1E3B">
      <w:pPr>
        <w:spacing w:line="360" w:lineRule="auto"/>
        <w:outlineLvl w:val="1"/>
        <w:rPr>
          <w:rFonts w:ascii="仿宋" w:hAnsi="仿宋"/>
          <w:color w:val="000000" w:themeColor="text1"/>
          <w:highlight w:val="none"/>
          <w14:textFill>
            <w14:solidFill>
              <w14:schemeClr w14:val="tx1"/>
            </w14:solidFill>
          </w14:textFill>
        </w:rPr>
      </w:pPr>
      <w:bookmarkStart w:id="137" w:name="_Toc18553"/>
      <w:bookmarkStart w:id="138" w:name="_Toc149230405"/>
      <w:bookmarkStart w:id="139" w:name="_Toc108796149"/>
      <w:bookmarkStart w:id="140" w:name="_Toc16168"/>
      <w:bookmarkStart w:id="141" w:name="_Toc5632"/>
      <w:bookmarkStart w:id="142" w:name="_Toc150933599"/>
      <w:r>
        <w:rPr>
          <w:rFonts w:hint="eastAsia" w:ascii="仿宋" w:hAnsi="仿宋" w:cs="仿宋"/>
          <w:b/>
          <w:bCs/>
          <w:color w:val="000000" w:themeColor="text1"/>
          <w:highlight w:val="none"/>
          <w14:textFill>
            <w14:solidFill>
              <w14:schemeClr w14:val="tx1"/>
            </w14:solidFill>
          </w14:textFill>
        </w:rPr>
        <w:t>二、招标文件</w:t>
      </w:r>
      <w:bookmarkEnd w:id="137"/>
      <w:bookmarkEnd w:id="138"/>
      <w:bookmarkEnd w:id="139"/>
      <w:bookmarkEnd w:id="140"/>
      <w:bookmarkEnd w:id="141"/>
      <w:bookmarkEnd w:id="142"/>
    </w:p>
    <w:p w14:paraId="3562777B">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43" w:name="_Toc150933600"/>
      <w:bookmarkStart w:id="144" w:name="_Toc20834"/>
      <w:r>
        <w:rPr>
          <w:rFonts w:hint="eastAsia" w:ascii="仿宋" w:hAnsi="仿宋" w:cs="仿宋"/>
          <w:color w:val="000000" w:themeColor="text1"/>
          <w:highlight w:val="none"/>
          <w14:textFill>
            <w14:solidFill>
              <w14:schemeClr w14:val="tx1"/>
            </w14:solidFill>
          </w14:textFill>
        </w:rPr>
        <w:t>招标文件构成</w:t>
      </w:r>
      <w:bookmarkEnd w:id="143"/>
      <w:bookmarkEnd w:id="144"/>
    </w:p>
    <w:p w14:paraId="1FAC6432">
      <w:pPr>
        <w:numPr>
          <w:ilvl w:val="1"/>
          <w:numId w:val="19"/>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招标文件共六部分，内容如下：</w:t>
      </w:r>
    </w:p>
    <w:p w14:paraId="5198FA3A">
      <w:pPr>
        <w:ind w:left="480" w:leftChars="200"/>
        <w:rPr>
          <w:rFonts w:ascii="仿宋" w:hAnsi="仿宋" w:cs="仿宋"/>
          <w:color w:val="000000" w:themeColor="text1"/>
          <w:sz w:val="24"/>
          <w:szCs w:val="2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第一部分 招标公告</w:t>
      </w:r>
    </w:p>
    <w:p w14:paraId="48565EF8">
      <w:pPr>
        <w:ind w:left="480" w:left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第二部分 投标人须知前附表及投标人须知</w:t>
      </w:r>
    </w:p>
    <w:p w14:paraId="06E7133E">
      <w:pPr>
        <w:ind w:left="480" w:left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第三部分 评标办法</w:t>
      </w:r>
      <w:r>
        <w:rPr>
          <w:rFonts w:hint="eastAsia" w:ascii="仿宋" w:hAnsi="仿宋" w:cs="仿宋"/>
          <w:color w:val="000000" w:themeColor="text1"/>
          <w:highlight w:val="none"/>
          <w14:textFill>
            <w14:solidFill>
              <w14:schemeClr w14:val="tx1"/>
            </w14:solidFill>
          </w14:textFill>
        </w:rPr>
        <w:tab/>
      </w:r>
    </w:p>
    <w:p w14:paraId="45D28E94">
      <w:pPr>
        <w:ind w:left="480" w:left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第四部分 合同主要条款及格式</w:t>
      </w:r>
    </w:p>
    <w:p w14:paraId="69F32EF7">
      <w:pPr>
        <w:ind w:left="480" w:left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第五部分 采购需求书</w:t>
      </w:r>
    </w:p>
    <w:p w14:paraId="56CC2CDB">
      <w:pPr>
        <w:ind w:left="480" w:left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第六部分 附件</w:t>
      </w:r>
      <w:r>
        <w:rPr>
          <w:rFonts w:hint="eastAsia"/>
          <w:color w:val="000000" w:themeColor="text1"/>
          <w:highlight w:val="none"/>
          <w14:textFill>
            <w14:solidFill>
              <w14:schemeClr w14:val="tx1"/>
            </w14:solidFill>
          </w14:textFill>
        </w:rPr>
        <w:tab/>
      </w:r>
    </w:p>
    <w:p w14:paraId="30A28AE4">
      <w:pPr>
        <w:numPr>
          <w:ilvl w:val="1"/>
          <w:numId w:val="19"/>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应认真阅读招标文件中所有的事项、格式、条款和技术规范等。投标人没有按照招标文件要求提交全部资料，或者投标文件没有对招标文件在各方面都作出实质性响应是投标人的风险，并可能导致其投标文件被拒绝。</w:t>
      </w:r>
    </w:p>
    <w:p w14:paraId="7899337F">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45" w:name="_Toc150933601"/>
      <w:bookmarkStart w:id="146" w:name="_Toc22121"/>
      <w:r>
        <w:rPr>
          <w:rFonts w:hint="eastAsia" w:ascii="仿宋" w:hAnsi="仿宋" w:cs="仿宋"/>
          <w:color w:val="000000" w:themeColor="text1"/>
          <w:highlight w:val="none"/>
          <w14:textFill>
            <w14:solidFill>
              <w14:schemeClr w14:val="tx1"/>
            </w14:solidFill>
          </w14:textFill>
        </w:rPr>
        <w:t>招标文件的澄清</w:t>
      </w:r>
      <w:bookmarkEnd w:id="145"/>
      <w:bookmarkEnd w:id="146"/>
    </w:p>
    <w:p w14:paraId="23F1B5DC">
      <w:pPr>
        <w:pStyle w:val="32"/>
        <w:ind w:left="0" w:leftChars="0" w:firstLine="0" w:firstLineChars="0"/>
        <w:rPr>
          <w:rFonts w:ascii="仿宋" w:hAnsi="仿宋" w:cs="仿宋"/>
          <w:color w:val="000000" w:themeColor="text1"/>
          <w:sz w:val="24"/>
          <w:szCs w:val="21"/>
          <w:highlight w:val="none"/>
          <w14:textFill>
            <w14:solidFill>
              <w14:schemeClr w14:val="tx1"/>
            </w14:solidFill>
          </w14:textFill>
        </w:rPr>
      </w:pPr>
      <w:r>
        <w:rPr>
          <w:rFonts w:hint="eastAsia" w:ascii="仿宋" w:hAnsi="仿宋" w:cs="仿宋"/>
          <w:color w:val="000000" w:themeColor="text1"/>
          <w:sz w:val="24"/>
          <w:szCs w:val="21"/>
          <w:highlight w:val="none"/>
          <w14:textFill>
            <w14:solidFill>
              <w14:schemeClr w14:val="tx1"/>
            </w14:solidFill>
          </w14:textFill>
        </w:rPr>
        <w:t>4.1 任何要求对招标文件进行澄清的投标人，均应按第13条规定的递交投标文件截止期十五（15）天前以书面形式通知招标人。招标人认为有必要的，在投标文件递交截止期日前以书面形式答复每一投标人（答复中不包括问题的来源）。</w:t>
      </w:r>
    </w:p>
    <w:p w14:paraId="22B4705A">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47" w:name="_Toc150933602"/>
      <w:bookmarkStart w:id="148" w:name="_Toc13626"/>
      <w:r>
        <w:rPr>
          <w:rFonts w:hint="eastAsia" w:ascii="仿宋" w:hAnsi="仿宋" w:cs="仿宋"/>
          <w:color w:val="000000" w:themeColor="text1"/>
          <w:highlight w:val="none"/>
          <w14:textFill>
            <w14:solidFill>
              <w14:schemeClr w14:val="tx1"/>
            </w14:solidFill>
          </w14:textFill>
        </w:rPr>
        <w:t>招标文件的修改</w:t>
      </w:r>
      <w:bookmarkEnd w:id="147"/>
      <w:bookmarkEnd w:id="148"/>
    </w:p>
    <w:p w14:paraId="437E5430">
      <w:pPr>
        <w:numPr>
          <w:ilvl w:val="1"/>
          <w:numId w:val="20"/>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为使投标人准备投标文件时有充分时间对招标文件的修改部分进行研究，招标人可自行决定是否延长递交投标文件截止时间。</w:t>
      </w:r>
    </w:p>
    <w:p w14:paraId="644F5EBC">
      <w:pPr>
        <w:numPr>
          <w:ilvl w:val="1"/>
          <w:numId w:val="20"/>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在递交投标文件截止时间（包含延长了的递交投标文件截止时间）前的任何时候，无论出于何种原因，招标人可主动地或在解答投标人提出的澄清问题时对招标文件进行修改。</w:t>
      </w:r>
    </w:p>
    <w:p w14:paraId="681C6FD4">
      <w:pPr>
        <w:numPr>
          <w:ilvl w:val="1"/>
          <w:numId w:val="20"/>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招标文件的修改应以书面形式通知所有购买招标文件的投标人，并对其具有约束力。投标人在收到上述通知后，应立即向招标人或招标代理回函确认。</w:t>
      </w:r>
    </w:p>
    <w:p w14:paraId="78C4AEEC">
      <w:pPr>
        <w:spacing w:line="360" w:lineRule="auto"/>
        <w:outlineLvl w:val="1"/>
        <w:rPr>
          <w:rFonts w:ascii="仿宋" w:hAnsi="仿宋"/>
          <w:color w:val="000000" w:themeColor="text1"/>
          <w:highlight w:val="none"/>
          <w14:textFill>
            <w14:solidFill>
              <w14:schemeClr w14:val="tx1"/>
            </w14:solidFill>
          </w14:textFill>
        </w:rPr>
      </w:pPr>
      <w:bookmarkStart w:id="149" w:name="_Toc108796150"/>
      <w:bookmarkStart w:id="150" w:name="_Toc30788"/>
      <w:bookmarkStart w:id="151" w:name="_Toc149230406"/>
      <w:bookmarkStart w:id="152" w:name="_Toc25360"/>
      <w:bookmarkStart w:id="153" w:name="_Toc21703"/>
      <w:bookmarkStart w:id="154" w:name="_Toc150933603"/>
      <w:r>
        <w:rPr>
          <w:rFonts w:hint="eastAsia" w:ascii="仿宋" w:hAnsi="仿宋" w:cs="仿宋"/>
          <w:b/>
          <w:bCs/>
          <w:color w:val="000000" w:themeColor="text1"/>
          <w:highlight w:val="none"/>
          <w14:textFill>
            <w14:solidFill>
              <w14:schemeClr w14:val="tx1"/>
            </w14:solidFill>
          </w14:textFill>
        </w:rPr>
        <w:t>三、投标文件的编制</w:t>
      </w:r>
      <w:bookmarkEnd w:id="149"/>
      <w:bookmarkEnd w:id="150"/>
      <w:bookmarkEnd w:id="151"/>
      <w:bookmarkEnd w:id="152"/>
      <w:bookmarkEnd w:id="153"/>
      <w:bookmarkEnd w:id="154"/>
    </w:p>
    <w:p w14:paraId="52C6519B">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55" w:name="_Toc150933604"/>
      <w:bookmarkStart w:id="156" w:name="_Toc28947"/>
      <w:r>
        <w:rPr>
          <w:rFonts w:hint="eastAsia" w:ascii="仿宋" w:hAnsi="仿宋" w:cs="仿宋"/>
          <w:color w:val="000000" w:themeColor="text1"/>
          <w:highlight w:val="none"/>
          <w14:textFill>
            <w14:solidFill>
              <w14:schemeClr w14:val="tx1"/>
            </w14:solidFill>
          </w14:textFill>
        </w:rPr>
        <w:t>投标文件的语言</w:t>
      </w:r>
      <w:bookmarkEnd w:id="155"/>
      <w:bookmarkEnd w:id="156"/>
    </w:p>
    <w:p w14:paraId="6737EE62">
      <w:pPr>
        <w:numPr>
          <w:ilvl w:val="1"/>
          <w:numId w:val="21"/>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提交的投标文件以及投标人与招标人就有关投标文件的所有来往函电均应使用中文书写。投标人提交的支持文件和印制的文献可以用另一种语言，但相应内容应附有中文的翻译本，在解释投标文件时以中文翻译本为准。</w:t>
      </w:r>
    </w:p>
    <w:p w14:paraId="6DD80B33">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57" w:name="_Toc150933605"/>
      <w:bookmarkStart w:id="158" w:name="_Toc24199"/>
      <w:r>
        <w:rPr>
          <w:rFonts w:hint="eastAsia" w:ascii="仿宋" w:hAnsi="仿宋" w:cs="仿宋"/>
          <w:color w:val="000000" w:themeColor="text1"/>
          <w:highlight w:val="none"/>
          <w14:textFill>
            <w14:solidFill>
              <w14:schemeClr w14:val="tx1"/>
            </w14:solidFill>
          </w14:textFill>
        </w:rPr>
        <w:t>投标文件构成</w:t>
      </w:r>
      <w:bookmarkEnd w:id="157"/>
      <w:bookmarkEnd w:id="158"/>
    </w:p>
    <w:p w14:paraId="2954F281">
      <w:pPr>
        <w:numPr>
          <w:ilvl w:val="1"/>
          <w:numId w:val="22"/>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应按下列投标文件格式要求组成投标文件（对以下所要求的投标文件如有任何一项未实质性响应，将可能导致其投标文件被拒绝）：投标文件基本文件；投标人资格证明文件，证明投标人是合格的和有能力履行合同的文件；证明投标人提供的服务的合格性和符合招标文件规定的文件；招标文件要求的其它文件；投标人认为其它需提供的文件。</w:t>
      </w:r>
    </w:p>
    <w:p w14:paraId="672CF5BE">
      <w:pPr>
        <w:pStyle w:val="116"/>
        <w:numPr>
          <w:ilvl w:val="0"/>
          <w:numId w:val="23"/>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投标文件基本文件</w:t>
      </w:r>
    </w:p>
    <w:p w14:paraId="3F8A3B1B">
      <w:pPr>
        <w:numPr>
          <w:ilvl w:val="0"/>
          <w:numId w:val="24"/>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投标函（格式见附件）</w:t>
      </w:r>
    </w:p>
    <w:p w14:paraId="17FE4CDB">
      <w:pPr>
        <w:numPr>
          <w:ilvl w:val="0"/>
          <w:numId w:val="24"/>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开标一览表（格式见附件）</w:t>
      </w:r>
    </w:p>
    <w:p w14:paraId="763BC7A9">
      <w:pPr>
        <w:numPr>
          <w:ilvl w:val="0"/>
          <w:numId w:val="24"/>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按照本须知第10条规定提交的投标保证金：</w:t>
      </w:r>
      <w:r>
        <w:rPr>
          <w:rFonts w:hint="eastAsia" w:ascii="仿宋" w:hAnsi="仿宋" w:cs="仿宋"/>
          <w:b/>
          <w:bCs/>
          <w:color w:val="000000" w:themeColor="text1"/>
          <w:highlight w:val="none"/>
          <w14:textFill>
            <w14:solidFill>
              <w14:schemeClr w14:val="tx1"/>
            </w14:solidFill>
          </w14:textFill>
        </w:rPr>
        <w:t>单独密封，递交投标文件时单独递交</w:t>
      </w:r>
    </w:p>
    <w:p w14:paraId="3DDB5188">
      <w:pPr>
        <w:pStyle w:val="116"/>
        <w:numPr>
          <w:ilvl w:val="0"/>
          <w:numId w:val="23"/>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投标人提交的证明其合格且中标后有能力履行合同的资格证明文件。资格证明文件应包括下列部分：</w:t>
      </w:r>
    </w:p>
    <w:p w14:paraId="75E779DE">
      <w:pPr>
        <w:numPr>
          <w:ilvl w:val="0"/>
          <w:numId w:val="2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商务条款偏离表及技术需求偏离表（格式见附件）（如投标文件的商务或技术条款响应与招标文件有偏离，需在表中注明）。</w:t>
      </w:r>
    </w:p>
    <w:p w14:paraId="1B7740C3">
      <w:pPr>
        <w:numPr>
          <w:ilvl w:val="0"/>
          <w:numId w:val="2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企业法人营业执照、事业单位法人证书或登记证（须提供复印件，二维码清晰可以扫描查询）。</w:t>
      </w:r>
    </w:p>
    <w:p w14:paraId="201FD7A2">
      <w:pPr>
        <w:numPr>
          <w:ilvl w:val="0"/>
          <w:numId w:val="2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法定代表人（或单位负责人）授权书（原件，格式见附件）。</w:t>
      </w:r>
    </w:p>
    <w:p w14:paraId="6E022A55">
      <w:pPr>
        <w:numPr>
          <w:ilvl w:val="0"/>
          <w:numId w:val="2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其它资格证明文件（格式见附件）。</w:t>
      </w:r>
    </w:p>
    <w:p w14:paraId="42166898">
      <w:pPr>
        <w:numPr>
          <w:ilvl w:val="0"/>
          <w:numId w:val="2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服务内容及相关承诺。</w:t>
      </w:r>
    </w:p>
    <w:p w14:paraId="6518BD37">
      <w:pPr>
        <w:pStyle w:val="116"/>
        <w:numPr>
          <w:ilvl w:val="0"/>
          <w:numId w:val="23"/>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证明投标人所提供的服务的合格性和符合招标文件规定的文件，对招标文件第五章《采购需求书》的逐项应答（详见第五章《采购需求书》），另外还应该包括如下：</w:t>
      </w:r>
    </w:p>
    <w:p w14:paraId="5127C902">
      <w:pPr>
        <w:pStyle w:val="116"/>
        <w:numPr>
          <w:ilvl w:val="0"/>
          <w:numId w:val="23"/>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招标文件要求的其它内容和文件。</w:t>
      </w:r>
    </w:p>
    <w:p w14:paraId="46933895">
      <w:pPr>
        <w:pStyle w:val="116"/>
        <w:numPr>
          <w:ilvl w:val="0"/>
          <w:numId w:val="23"/>
        </w:numPr>
        <w:spacing w:before="120" w:line="360" w:lineRule="auto"/>
        <w:ind w:firstLineChars="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投标人认为其它需提供的文件或证书。</w:t>
      </w:r>
    </w:p>
    <w:p w14:paraId="0E5B5B90">
      <w:pPr>
        <w:numPr>
          <w:ilvl w:val="1"/>
          <w:numId w:val="22"/>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投标人提供的以上材料必须真实有效，任何一项的虚假将导致其投标文件被拒绝。</w:t>
      </w:r>
    </w:p>
    <w:p w14:paraId="2A6A47EB">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59" w:name="_Toc150933606"/>
      <w:bookmarkStart w:id="160" w:name="_Toc30102"/>
      <w:r>
        <w:rPr>
          <w:rFonts w:hint="eastAsia" w:ascii="仿宋" w:hAnsi="仿宋" w:cs="仿宋"/>
          <w:color w:val="000000" w:themeColor="text1"/>
          <w:highlight w:val="none"/>
          <w14:textFill>
            <w14:solidFill>
              <w14:schemeClr w14:val="tx1"/>
            </w14:solidFill>
          </w14:textFill>
        </w:rPr>
        <w:t>投标文件的式样和签署（详见《投标人须知前附表》）</w:t>
      </w:r>
      <w:bookmarkEnd w:id="159"/>
      <w:bookmarkEnd w:id="160"/>
    </w:p>
    <w:p w14:paraId="1657D574">
      <w:pPr>
        <w:numPr>
          <w:ilvl w:val="1"/>
          <w:numId w:val="2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投标文件一式</w:t>
      </w:r>
      <w:r>
        <w:rPr>
          <w:rFonts w:hint="eastAsia" w:ascii="仿宋" w:hAnsi="仿宋" w:cs="仿宋"/>
          <w:color w:val="000000" w:themeColor="text1"/>
          <w:highlight w:val="none"/>
          <w:lang w:val="en-US" w:eastAsia="zh-CN"/>
          <w14:textFill>
            <w14:solidFill>
              <w14:schemeClr w14:val="tx1"/>
            </w14:solidFill>
          </w14:textFill>
        </w:rPr>
        <w:t>2</w:t>
      </w:r>
      <w:r>
        <w:rPr>
          <w:rFonts w:hint="eastAsia" w:ascii="仿宋" w:hAnsi="仿宋" w:cs="仿宋"/>
          <w:color w:val="000000" w:themeColor="text1"/>
          <w:highlight w:val="none"/>
          <w14:textFill>
            <w14:solidFill>
              <w14:schemeClr w14:val="tx1"/>
            </w14:solidFill>
          </w14:textFill>
        </w:rPr>
        <w:t>份（1 份正本、</w:t>
      </w:r>
      <w:r>
        <w:rPr>
          <w:rFonts w:hint="eastAsia" w:ascii="仿宋" w:hAnsi="仿宋" w:cs="仿宋"/>
          <w:color w:val="000000" w:themeColor="text1"/>
          <w:highlight w:val="none"/>
          <w:lang w:val="en-US" w:eastAsia="zh-CN"/>
          <w14:textFill>
            <w14:solidFill>
              <w14:schemeClr w14:val="tx1"/>
            </w14:solidFill>
          </w14:textFill>
        </w:rPr>
        <w:t>1</w:t>
      </w:r>
      <w:r>
        <w:rPr>
          <w:rFonts w:hint="eastAsia" w:ascii="仿宋" w:hAnsi="仿宋" w:cs="仿宋"/>
          <w:color w:val="000000" w:themeColor="text1"/>
          <w:highlight w:val="none"/>
          <w14:textFill>
            <w14:solidFill>
              <w14:schemeClr w14:val="tx1"/>
            </w14:solidFill>
          </w14:textFill>
        </w:rPr>
        <w:t>份副本），正本投标文件电子版一份（PDF格式扫描件，务必保证PDF扫描件为正本投标文件（需按要求加盖公章及签字）的扫描件，否则，其投标将有可能被判定为非实质性满足招标文件的要求）。投标文件用中文编写，A4纸胶装。其中正本必须注明“正本”字样，正、副本及电子版本内容必须保持一致，副本可以用复印件。若正本和副本或电子版本不符，以正本为准。</w:t>
      </w:r>
      <w:r>
        <w:rPr>
          <w:rFonts w:hint="eastAsia" w:ascii="仿宋" w:hAnsi="仿宋" w:cs="仿宋"/>
          <w:b/>
          <w:bCs/>
          <w:color w:val="000000" w:themeColor="text1"/>
          <w:highlight w:val="none"/>
          <w14:textFill>
            <w14:solidFill>
              <w14:schemeClr w14:val="tx1"/>
            </w14:solidFill>
          </w14:textFill>
        </w:rPr>
        <w:t>开标一览表除在投标文件中提供外，还需另外单独封装一份</w:t>
      </w:r>
      <w:r>
        <w:rPr>
          <w:rFonts w:hint="eastAsia" w:ascii="仿宋" w:hAnsi="仿宋" w:cs="仿宋"/>
          <w:color w:val="000000" w:themeColor="text1"/>
          <w:highlight w:val="none"/>
          <w14:textFill>
            <w14:solidFill>
              <w14:schemeClr w14:val="tx1"/>
            </w14:solidFill>
          </w14:textFill>
        </w:rPr>
        <w:t>。</w:t>
      </w:r>
    </w:p>
    <w:p w14:paraId="01707EEE">
      <w:pPr>
        <w:numPr>
          <w:ilvl w:val="1"/>
          <w:numId w:val="2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需由投标人法定代表人（或单位负责人）或经法定代表人（或单位负责正式授权并对投标人有约束力的代表在投标文件上签字。投标文件如是授权代表签字，须将“法定代表人（或单位负责人）授权书”附在投标文件中。投标文件无法定代表人（或单位负责人）签字，或签字无法定代表人（或单位负责人）有效授权，投标文件将被拒绝。</w:t>
      </w:r>
    </w:p>
    <w:p w14:paraId="465AAEE9">
      <w:pPr>
        <w:numPr>
          <w:ilvl w:val="1"/>
          <w:numId w:val="2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如投标人对招标文件个别内容不能接受，应在投标文件中另做声明，否则将视为投标人接受招标文件全部内容。</w:t>
      </w:r>
    </w:p>
    <w:p w14:paraId="5045B528">
      <w:pPr>
        <w:numPr>
          <w:ilvl w:val="1"/>
          <w:numId w:val="2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任何对投标文件行间插字、涂改和增删，必须由投标文件签字人签字或盖章后才有效。</w:t>
      </w:r>
    </w:p>
    <w:p w14:paraId="2DA68318">
      <w:pPr>
        <w:numPr>
          <w:ilvl w:val="1"/>
          <w:numId w:val="2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投标文件因字迹潦草或表达不清所引起的后果由投标人负责。</w:t>
      </w:r>
    </w:p>
    <w:p w14:paraId="66DC0A20">
      <w:pPr>
        <w:numPr>
          <w:ilvl w:val="1"/>
          <w:numId w:val="2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投标人在投标过程中相关文件的签订、履行、通知等事项的书面文件中的单位盖章、印章、公章等处均仅指与投标人名称全称相一致的标准公章。如投标过程中投标人使用其他形式（如带有“专用章”等字样）的印章，须提供特别说明函，明确“针对本次项目，该投标人专用章作为直接参与投标时相关文件的签章，其效力等同于公章”，特别说明函须同时加盖投标人公章及专用章。</w:t>
      </w:r>
    </w:p>
    <w:p w14:paraId="41E58861">
      <w:pPr>
        <w:numPr>
          <w:ilvl w:val="1"/>
          <w:numId w:val="26"/>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若供应商为事业单位或其他组织或分支机构（仅当招标文件注明允许分支机构投标的），则法定代表人（单位负责人）处的签署人可为单位负责人。</w:t>
      </w:r>
    </w:p>
    <w:p w14:paraId="2BDCC92B">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61" w:name="_Toc24279"/>
      <w:bookmarkStart w:id="162" w:name="_Toc150933607"/>
      <w:r>
        <w:rPr>
          <w:rFonts w:hint="eastAsia" w:ascii="仿宋" w:hAnsi="仿宋" w:cs="仿宋"/>
          <w:color w:val="000000" w:themeColor="text1"/>
          <w:highlight w:val="none"/>
          <w14:textFill>
            <w14:solidFill>
              <w14:schemeClr w14:val="tx1"/>
            </w14:solidFill>
          </w14:textFill>
        </w:rPr>
        <w:t>报价</w:t>
      </w:r>
      <w:bookmarkEnd w:id="161"/>
      <w:bookmarkEnd w:id="162"/>
    </w:p>
    <w:p w14:paraId="6E7DEDCE">
      <w:pPr>
        <w:numPr>
          <w:ilvl w:val="1"/>
          <w:numId w:val="27"/>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报价：人民币。投标人应按照招标文件要求，在投标文件中报出本项目包含的所有货物及服务的报价（格式见 附件）。</w:t>
      </w:r>
    </w:p>
    <w:p w14:paraId="002BBC9F">
      <w:pPr>
        <w:numPr>
          <w:ilvl w:val="1"/>
          <w:numId w:val="27"/>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投标人的报价包括投标人为完成招标人的项目所发生的一切费用（包括全部相关货物及服务）且已包括与所报货物及服务相关的所有税费。投标人估算错误或漏项的风险一律由投标人承担。</w:t>
      </w:r>
    </w:p>
    <w:p w14:paraId="2B65F692">
      <w:pPr>
        <w:numPr>
          <w:ilvl w:val="1"/>
          <w:numId w:val="27"/>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中标的价格在合同执行过程中是固定不变的，未经招标人许可不得以任何理由予以变更。以可调整或可选择的价格提交的投标文件将作为非响应性文件而予以拒绝。</w:t>
      </w:r>
    </w:p>
    <w:p w14:paraId="4B497F4D">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63" w:name="_Toc150933608"/>
      <w:bookmarkStart w:id="164" w:name="_Toc29115"/>
      <w:r>
        <w:rPr>
          <w:rFonts w:hint="eastAsia" w:ascii="仿宋" w:hAnsi="仿宋" w:cs="仿宋"/>
          <w:color w:val="000000" w:themeColor="text1"/>
          <w:highlight w:val="none"/>
          <w14:textFill>
            <w14:solidFill>
              <w14:schemeClr w14:val="tx1"/>
            </w14:solidFill>
          </w14:textFill>
        </w:rPr>
        <w:t>投标保证金</w:t>
      </w:r>
      <w:bookmarkEnd w:id="163"/>
      <w:bookmarkEnd w:id="164"/>
    </w:p>
    <w:p w14:paraId="79E07D12">
      <w:pPr>
        <w:numPr>
          <w:ilvl w:val="1"/>
          <w:numId w:val="28"/>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投标人应提交规定金额的投标保证金，并作为其投标文件的一部分。（详见《投标人须知前附表》）</w:t>
      </w:r>
    </w:p>
    <w:p w14:paraId="640A5026">
      <w:pPr>
        <w:numPr>
          <w:ilvl w:val="1"/>
          <w:numId w:val="28"/>
        </w:numPr>
        <w:spacing w:before="120"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投标保证金是为了保护招标代理机构和招标人免遭因投标人的行为而蒙受损失。招标代理机构和招标人在因投标人的行为受到损害时可根据本须知第10.7条的规定没收投标人的投标保证金。</w:t>
      </w:r>
    </w:p>
    <w:p w14:paraId="4535BE53">
      <w:pPr>
        <w:numPr>
          <w:ilvl w:val="1"/>
          <w:numId w:val="28"/>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投标保证金应用报价货币，并采用下列任何一种形式：</w:t>
      </w:r>
      <w:r>
        <w:rPr>
          <w:rFonts w:hint="eastAsia" w:ascii="仿宋" w:hAnsi="仿宋" w:cs="仿宋"/>
          <w:color w:val="000000" w:themeColor="text1"/>
          <w:szCs w:val="24"/>
          <w:highlight w:val="none"/>
          <w:u w:val="single"/>
          <w14:textFill>
            <w14:solidFill>
              <w14:schemeClr w14:val="tx1"/>
            </w14:solidFill>
          </w14:textFill>
        </w:rPr>
        <w:t>（详见《投标人须知前附表》）</w:t>
      </w:r>
    </w:p>
    <w:p w14:paraId="3FD65EBF">
      <w:pPr>
        <w:numPr>
          <w:ilvl w:val="1"/>
          <w:numId w:val="28"/>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凡没有根据本须知第10.1条的规定随附投标保证金的投标文件，应按本须知第19条的规定视为非响应性文件予以拒绝。</w:t>
      </w:r>
    </w:p>
    <w:p w14:paraId="0C57F197">
      <w:pPr>
        <w:numPr>
          <w:ilvl w:val="1"/>
          <w:numId w:val="28"/>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未中标的投标人的投标保证金，将尽速并不晚于按照规定的投标有效期满后30天退还投标人。招标人最迟将在与中标人签订合同后5日内向中标人和其他未中标人退还投标保证金及银行同期存款利息。</w:t>
      </w:r>
    </w:p>
    <w:p w14:paraId="7CD1B7E1">
      <w:pPr>
        <w:numPr>
          <w:ilvl w:val="1"/>
          <w:numId w:val="28"/>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中标人的投标保证金，在中标人按照招标人和招标代理机构的要求向招标代理机构交纳了招标代理服务费后，将退还中标人。</w:t>
      </w:r>
    </w:p>
    <w:p w14:paraId="6F46585E">
      <w:pPr>
        <w:numPr>
          <w:ilvl w:val="1"/>
          <w:numId w:val="28"/>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下列任何情况发生时，投标保证金将被没收：</w:t>
      </w:r>
    </w:p>
    <w:p w14:paraId="7A0C4794">
      <w:pPr>
        <w:pStyle w:val="116"/>
        <w:numPr>
          <w:ilvl w:val="0"/>
          <w:numId w:val="29"/>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投标人在招标文件中规定的投标有效期内或经投标人同意后延长的投标有效期内撤回其投标文件； </w:t>
      </w:r>
    </w:p>
    <w:p w14:paraId="45382CD8">
      <w:pPr>
        <w:pStyle w:val="116"/>
        <w:numPr>
          <w:ilvl w:val="0"/>
          <w:numId w:val="29"/>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投标人提供的有关资料、资格证明文件被确认是不真实的；</w:t>
      </w:r>
    </w:p>
    <w:p w14:paraId="30254549">
      <w:pPr>
        <w:pStyle w:val="116"/>
        <w:numPr>
          <w:ilvl w:val="0"/>
          <w:numId w:val="29"/>
        </w:numPr>
        <w:spacing w:before="120" w:line="360" w:lineRule="auto"/>
        <w:ind w:firstLineChars="0"/>
        <w:rPr>
          <w:rFonts w:ascii="仿宋" w:hAnsi="仿宋" w:cs="仿宋"/>
          <w:color w:val="000000" w:themeColor="text1"/>
          <w:sz w:val="2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投标人存在本须知第27.1条规定的弄虚作假行为的；</w:t>
      </w:r>
    </w:p>
    <w:p w14:paraId="6E3649AD">
      <w:pPr>
        <w:pStyle w:val="116"/>
        <w:numPr>
          <w:ilvl w:val="0"/>
          <w:numId w:val="29"/>
        </w:numPr>
        <w:spacing w:before="120" w:line="360" w:lineRule="auto"/>
        <w:ind w:firstLineChars="0"/>
        <w:rPr>
          <w:rFonts w:ascii="仿宋" w:hAnsi="仿宋" w:cs="仿宋"/>
          <w:color w:val="000000" w:themeColor="text1"/>
          <w:sz w:val="2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中标人在规定期限内未能根据本须知第25条规定签订合同；</w:t>
      </w:r>
    </w:p>
    <w:p w14:paraId="74856998">
      <w:pPr>
        <w:pStyle w:val="116"/>
        <w:numPr>
          <w:ilvl w:val="0"/>
          <w:numId w:val="29"/>
        </w:numPr>
        <w:spacing w:before="120" w:line="360" w:lineRule="auto"/>
        <w:ind w:firstLineChars="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中标人未按照招标文件规定支付招标代理服务费的。</w:t>
      </w:r>
    </w:p>
    <w:p w14:paraId="7851BCCB">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65" w:name="_Toc32587"/>
      <w:bookmarkStart w:id="166" w:name="_Toc150933609"/>
      <w:r>
        <w:rPr>
          <w:rFonts w:hint="eastAsia" w:ascii="仿宋" w:hAnsi="仿宋" w:cs="宋体"/>
          <w:color w:val="000000" w:themeColor="text1"/>
          <w:highlight w:val="none"/>
          <w14:textFill>
            <w14:solidFill>
              <w14:schemeClr w14:val="tx1"/>
            </w14:solidFill>
          </w14:textFill>
        </w:rPr>
        <w:t>投标有效期（详见《投标人须知前附表》）</w:t>
      </w:r>
      <w:bookmarkEnd w:id="165"/>
      <w:bookmarkEnd w:id="166"/>
    </w:p>
    <w:p w14:paraId="5ECB49B9">
      <w:pPr>
        <w:numPr>
          <w:ilvl w:val="1"/>
          <w:numId w:val="30"/>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本项目的投标有效期时间要求详见《投标人须知前附表》，投标人递交的投标文件应在规定的投标有效期内保持有效，有效期不满足要求的投标文件将被视为非响应性文件而予以拒绝。</w:t>
      </w:r>
    </w:p>
    <w:p w14:paraId="5BEDB71E">
      <w:pPr>
        <w:numPr>
          <w:ilvl w:val="1"/>
          <w:numId w:val="30"/>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特殊情况下，在原投标有效期截止之前，招标人可要求投标人同意延长投标有效期。这种要求与答复均应以书面形式提交。接受延长投标有效期的投标人将不会被要求和允许修正其投标文件，而只会被要求相应地延长其投标保证金的有效期。在这种情况下，本须知第10条有关投标保证金的退还和没收的规定将在延长了的有效期内继续有效。</w:t>
      </w:r>
    </w:p>
    <w:p w14:paraId="4EE4204D">
      <w:pPr>
        <w:spacing w:line="360" w:lineRule="auto"/>
        <w:ind w:left="525"/>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p>
    <w:p w14:paraId="4461DAB4">
      <w:pPr>
        <w:spacing w:line="360" w:lineRule="auto"/>
        <w:outlineLvl w:val="1"/>
        <w:rPr>
          <w:rFonts w:ascii="仿宋" w:hAnsi="仿宋" w:cs="仿宋"/>
          <w:b/>
          <w:bCs/>
          <w:color w:val="000000" w:themeColor="text1"/>
          <w:highlight w:val="none"/>
          <w14:textFill>
            <w14:solidFill>
              <w14:schemeClr w14:val="tx1"/>
            </w14:solidFill>
          </w14:textFill>
        </w:rPr>
      </w:pPr>
      <w:bookmarkStart w:id="167" w:name="_Toc547"/>
      <w:bookmarkStart w:id="168" w:name="_Toc149230407"/>
      <w:bookmarkStart w:id="169" w:name="_Toc11607"/>
      <w:bookmarkStart w:id="170" w:name="_Toc108796151"/>
      <w:bookmarkStart w:id="171" w:name="_Toc6878"/>
      <w:bookmarkStart w:id="172" w:name="_Toc150933610"/>
      <w:r>
        <w:rPr>
          <w:rFonts w:hint="eastAsia" w:ascii="仿宋" w:hAnsi="仿宋" w:cs="仿宋"/>
          <w:b/>
          <w:bCs/>
          <w:color w:val="000000" w:themeColor="text1"/>
          <w:highlight w:val="none"/>
          <w14:textFill>
            <w14:solidFill>
              <w14:schemeClr w14:val="tx1"/>
            </w14:solidFill>
          </w14:textFill>
        </w:rPr>
        <w:t>四、投标文件的递交</w:t>
      </w:r>
      <w:bookmarkEnd w:id="167"/>
      <w:bookmarkEnd w:id="168"/>
      <w:bookmarkEnd w:id="169"/>
      <w:bookmarkEnd w:id="170"/>
      <w:bookmarkEnd w:id="171"/>
      <w:bookmarkEnd w:id="172"/>
    </w:p>
    <w:p w14:paraId="5D4E5A21">
      <w:pPr>
        <w:pStyle w:val="32"/>
        <w:ind w:left="480" w:firstLine="640"/>
        <w:rPr>
          <w:rFonts w:ascii="仿宋" w:hAnsi="仿宋"/>
          <w:color w:val="000000" w:themeColor="text1"/>
          <w:highlight w:val="none"/>
          <w14:textFill>
            <w14:solidFill>
              <w14:schemeClr w14:val="tx1"/>
            </w14:solidFill>
          </w14:textFill>
        </w:rPr>
      </w:pPr>
    </w:p>
    <w:p w14:paraId="305F5217">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73" w:name="_Toc25259"/>
      <w:bookmarkStart w:id="174" w:name="_Toc150933611"/>
      <w:r>
        <w:rPr>
          <w:rFonts w:hint="eastAsia" w:ascii="仿宋" w:hAnsi="仿宋" w:cs="仿宋"/>
          <w:color w:val="000000" w:themeColor="text1"/>
          <w:highlight w:val="none"/>
          <w14:textFill>
            <w14:solidFill>
              <w14:schemeClr w14:val="tx1"/>
            </w14:solidFill>
          </w14:textFill>
        </w:rPr>
        <w:t>投标文件的密封和标记</w:t>
      </w:r>
      <w:bookmarkEnd w:id="173"/>
      <w:bookmarkEnd w:id="174"/>
    </w:p>
    <w:p w14:paraId="48BCCBA2">
      <w:pPr>
        <w:numPr>
          <w:ilvl w:val="1"/>
          <w:numId w:val="31"/>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应单独密封提交投标保证金一份和开标一览表一份，并在各自信封上标明“投标保证金”、“开标一览表”字样。投标人应将投标文件正本和所有的副本、正本投标文件电子版分开密封装在单独的信封中，且在信封上标明“正本”、“副本”、“电子文档”字样。然后再将除装有开标一览表和投标保证金的两个信封外的所有信封封装在一个外层信封中。</w:t>
      </w:r>
    </w:p>
    <w:p w14:paraId="72EB453C">
      <w:pPr>
        <w:numPr>
          <w:ilvl w:val="1"/>
          <w:numId w:val="31"/>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内外层信封均应：</w:t>
      </w:r>
    </w:p>
    <w:p w14:paraId="6BCF595E">
      <w:pPr>
        <w:pStyle w:val="116"/>
        <w:numPr>
          <w:ilvl w:val="0"/>
          <w:numId w:val="32"/>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标明递交至“招标公告</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投标邀请函”中指明的地点。</w:t>
      </w:r>
    </w:p>
    <w:p w14:paraId="3C34CABA">
      <w:pPr>
        <w:pStyle w:val="116"/>
        <w:numPr>
          <w:ilvl w:val="0"/>
          <w:numId w:val="32"/>
        </w:numPr>
        <w:spacing w:before="120" w:line="360" w:lineRule="auto"/>
        <w:ind w:firstLineChars="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注明“招标公告</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投标邀请函”中指明的项目名称和“在</w:t>
      </w:r>
      <w:r>
        <w:rPr>
          <w:rFonts w:hint="eastAsia" w:ascii="仿宋" w:hAnsi="仿宋" w:cs="仿宋"/>
          <w:color w:val="000000" w:themeColor="text1"/>
          <w:highlight w:val="none"/>
          <w:lang w:val="en-US" w:eastAsia="zh-CN"/>
          <w14:textFill>
            <w14:solidFill>
              <w14:schemeClr w14:val="tx1"/>
            </w14:solidFill>
          </w14:textFill>
        </w:rPr>
        <w:t>（填写具体开标时间）</w:t>
      </w:r>
      <w:r>
        <w:rPr>
          <w:rFonts w:hint="eastAsia" w:ascii="仿宋" w:hAnsi="仿宋" w:cs="仿宋"/>
          <w:color w:val="000000" w:themeColor="text1"/>
          <w:highlight w:val="none"/>
          <w14:textFill>
            <w14:solidFill>
              <w14:schemeClr w14:val="tx1"/>
            </w14:solidFill>
          </w14:textFill>
        </w:rPr>
        <w:t>”之前不得启封的字样，并填入“招标公告</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投标邀请函”中规定的日期和时间。</w:t>
      </w:r>
    </w:p>
    <w:p w14:paraId="325F19E4">
      <w:pPr>
        <w:numPr>
          <w:ilvl w:val="1"/>
          <w:numId w:val="31"/>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内层信封应写明投标人名称和地址，以便若其投标文件被宣布为“迟到”投标文件时，能原封退回。</w:t>
      </w:r>
    </w:p>
    <w:p w14:paraId="713F8378">
      <w:pPr>
        <w:numPr>
          <w:ilvl w:val="1"/>
          <w:numId w:val="31"/>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如果外层信封未按本须知第12.2条要求加写标记和密封，招标人对误投或过早启封概不负责。</w:t>
      </w:r>
    </w:p>
    <w:p w14:paraId="3EF529C8">
      <w:pPr>
        <w:numPr>
          <w:ilvl w:val="1"/>
          <w:numId w:val="31"/>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投标人须由其合法的授权人在递交投标文件截止时间之前将投标文件送达至招标文件规定的递交地点并签字确认。投标人须承担因未送达并签字所造成的一切责任。</w:t>
      </w:r>
    </w:p>
    <w:p w14:paraId="65297B55">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75" w:name="_Toc150933612"/>
      <w:bookmarkStart w:id="176" w:name="_Toc31030"/>
      <w:r>
        <w:rPr>
          <w:rFonts w:hint="eastAsia" w:ascii="仿宋" w:hAnsi="仿宋" w:cs="仿宋"/>
          <w:color w:val="000000" w:themeColor="text1"/>
          <w:highlight w:val="none"/>
          <w14:textFill>
            <w14:solidFill>
              <w14:schemeClr w14:val="tx1"/>
            </w14:solidFill>
          </w14:textFill>
        </w:rPr>
        <w:t>递交投标文件截止时间（详见《投标人须知前附表》）</w:t>
      </w:r>
      <w:bookmarkEnd w:id="175"/>
      <w:bookmarkEnd w:id="176"/>
    </w:p>
    <w:p w14:paraId="78E91FE3">
      <w:pPr>
        <w:numPr>
          <w:ilvl w:val="1"/>
          <w:numId w:val="33"/>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招标人收到投标文件的时间不迟于北京时间 </w:t>
      </w:r>
      <w:r>
        <w:rPr>
          <w:rFonts w:hint="eastAsia" w:ascii="仿宋" w:hAnsi="仿宋" w:cs="仿宋"/>
          <w:color w:val="000000" w:themeColor="text1"/>
          <w:szCs w:val="24"/>
          <w:highlight w:val="none"/>
          <w14:textFill>
            <w14:solidFill>
              <w14:schemeClr w14:val="tx1"/>
            </w14:solidFill>
          </w14:textFill>
        </w:rPr>
        <w:t>20</w:t>
      </w:r>
      <w:r>
        <w:rPr>
          <w:rFonts w:hint="eastAsia" w:ascii="仿宋" w:hAnsi="仿宋" w:cs="仿宋"/>
          <w:color w:val="000000" w:themeColor="text1"/>
          <w:szCs w:val="24"/>
          <w:highlight w:val="none"/>
          <w:lang w:val="en-US" w:eastAsia="zh-CN"/>
          <w14:textFill>
            <w14:solidFill>
              <w14:schemeClr w14:val="tx1"/>
            </w14:solidFill>
          </w14:textFill>
        </w:rPr>
        <w:t>25</w:t>
      </w:r>
      <w:r>
        <w:rPr>
          <w:rFonts w:hint="eastAsia" w:ascii="仿宋" w:hAnsi="仿宋" w:cs="仿宋"/>
          <w:color w:val="000000" w:themeColor="text1"/>
          <w:szCs w:val="24"/>
          <w:highlight w:val="none"/>
          <w14:textFill>
            <w14:solidFill>
              <w14:schemeClr w14:val="tx1"/>
            </w14:solidFill>
          </w14:textFill>
        </w:rPr>
        <w:t>年</w:t>
      </w:r>
      <w:r>
        <w:rPr>
          <w:rFonts w:hint="eastAsia" w:ascii="仿宋" w:hAnsi="仿宋" w:cs="仿宋"/>
          <w:color w:val="000000" w:themeColor="text1"/>
          <w:szCs w:val="24"/>
          <w:highlight w:val="none"/>
          <w:lang w:val="en-US" w:eastAsia="zh-CN"/>
          <w14:textFill>
            <w14:solidFill>
              <w14:schemeClr w14:val="tx1"/>
            </w14:solidFill>
          </w14:textFill>
        </w:rPr>
        <w:t>8</w:t>
      </w:r>
      <w:r>
        <w:rPr>
          <w:rFonts w:hint="eastAsia" w:ascii="仿宋" w:hAnsi="仿宋" w:cs="仿宋"/>
          <w:color w:val="000000" w:themeColor="text1"/>
          <w:szCs w:val="24"/>
          <w:highlight w:val="none"/>
          <w14:textFill>
            <w14:solidFill>
              <w14:schemeClr w14:val="tx1"/>
            </w14:solidFill>
          </w14:textFill>
        </w:rPr>
        <w:t>月</w:t>
      </w:r>
      <w:r>
        <w:rPr>
          <w:rFonts w:hint="eastAsia" w:ascii="仿宋" w:hAnsi="仿宋" w:cs="仿宋"/>
          <w:color w:val="000000" w:themeColor="text1"/>
          <w:szCs w:val="24"/>
          <w:highlight w:val="none"/>
          <w:lang w:val="en-US" w:eastAsia="zh-CN"/>
          <w14:textFill>
            <w14:solidFill>
              <w14:schemeClr w14:val="tx1"/>
            </w14:solidFill>
          </w14:textFill>
        </w:rPr>
        <w:t>22</w:t>
      </w:r>
      <w:r>
        <w:rPr>
          <w:rFonts w:hint="eastAsia" w:ascii="仿宋" w:hAnsi="仿宋" w:cs="仿宋"/>
          <w:color w:val="000000" w:themeColor="text1"/>
          <w:szCs w:val="24"/>
          <w:highlight w:val="none"/>
          <w14:textFill>
            <w14:solidFill>
              <w14:schemeClr w14:val="tx1"/>
            </w14:solidFill>
          </w14:textFill>
        </w:rPr>
        <w:t>日</w:t>
      </w:r>
      <w:r>
        <w:rPr>
          <w:rFonts w:hint="eastAsia" w:ascii="仿宋" w:hAnsi="仿宋" w:cs="仿宋"/>
          <w:color w:val="000000" w:themeColor="text1"/>
          <w:szCs w:val="24"/>
          <w:highlight w:val="none"/>
          <w:lang w:val="en-US" w:eastAsia="zh-CN"/>
          <w14:textFill>
            <w14:solidFill>
              <w14:schemeClr w14:val="tx1"/>
            </w14:solidFill>
          </w14:textFill>
        </w:rPr>
        <w:t>9</w:t>
      </w:r>
      <w:r>
        <w:rPr>
          <w:rFonts w:hint="eastAsia" w:ascii="仿宋" w:hAnsi="仿宋" w:cs="仿宋"/>
          <w:color w:val="000000" w:themeColor="text1"/>
          <w:szCs w:val="24"/>
          <w:highlight w:val="none"/>
          <w14:textFill>
            <w14:solidFill>
              <w14:schemeClr w14:val="tx1"/>
            </w14:solidFill>
          </w14:textFill>
        </w:rPr>
        <w:t>时</w:t>
      </w:r>
      <w:r>
        <w:rPr>
          <w:rFonts w:hint="eastAsia" w:ascii="仿宋" w:hAnsi="仿宋" w:cs="仿宋"/>
          <w:color w:val="000000" w:themeColor="text1"/>
          <w:szCs w:val="24"/>
          <w:highlight w:val="none"/>
          <w:lang w:val="en-US" w:eastAsia="zh-CN"/>
          <w14:textFill>
            <w14:solidFill>
              <w14:schemeClr w14:val="tx1"/>
            </w14:solidFill>
          </w14:textFill>
        </w:rPr>
        <w:t>00</w:t>
      </w:r>
      <w:r>
        <w:rPr>
          <w:rFonts w:hint="eastAsia" w:ascii="仿宋" w:hAnsi="仿宋" w:cs="仿宋"/>
          <w:color w:val="000000" w:themeColor="text1"/>
          <w:szCs w:val="24"/>
          <w:highlight w:val="none"/>
          <w14:textFill>
            <w14:solidFill>
              <w14:schemeClr w14:val="tx1"/>
            </w14:solidFill>
          </w14:textFill>
        </w:rPr>
        <w:t>分</w:t>
      </w:r>
      <w:r>
        <w:rPr>
          <w:rFonts w:hint="eastAsia" w:ascii="仿宋" w:hAnsi="仿宋" w:cs="仿宋"/>
          <w:color w:val="000000" w:themeColor="text1"/>
          <w:highlight w:val="none"/>
          <w14:textFill>
            <w14:solidFill>
              <w14:schemeClr w14:val="tx1"/>
            </w14:solidFill>
          </w14:textFill>
        </w:rPr>
        <w:t>。</w:t>
      </w:r>
    </w:p>
    <w:p w14:paraId="06D009B9">
      <w:pPr>
        <w:numPr>
          <w:ilvl w:val="1"/>
          <w:numId w:val="33"/>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招标代理机构可以按本须知第5条规定，通过修改招标文件自行决定酌情延长递交投标文件截止时间。在此情况下，招标代理机构、招标人和投标人受递交投标文件截止时间制约的所有权利和义务均应延长至新的截止期。</w:t>
      </w:r>
    </w:p>
    <w:p w14:paraId="7917DFA8">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77" w:name="_Toc29490"/>
      <w:bookmarkStart w:id="178" w:name="_Toc150933613"/>
      <w:r>
        <w:rPr>
          <w:rFonts w:hint="eastAsia" w:ascii="仿宋" w:hAnsi="仿宋" w:cs="仿宋"/>
          <w:color w:val="000000" w:themeColor="text1"/>
          <w:highlight w:val="none"/>
          <w14:textFill>
            <w14:solidFill>
              <w14:schemeClr w14:val="tx1"/>
            </w14:solidFill>
          </w14:textFill>
        </w:rPr>
        <w:t>迟交的投标文件</w:t>
      </w:r>
      <w:bookmarkEnd w:id="177"/>
      <w:bookmarkEnd w:id="178"/>
    </w:p>
    <w:p w14:paraId="5E026D09">
      <w:pPr>
        <w:numPr>
          <w:ilvl w:val="1"/>
          <w:numId w:val="34"/>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招标人将拒绝并原封退回在规定的递交投标文件截止时间后收到的任何投标文件。</w:t>
      </w:r>
    </w:p>
    <w:p w14:paraId="49B8F84E">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79" w:name="_Toc150933614"/>
      <w:bookmarkStart w:id="180" w:name="_Toc26840"/>
      <w:r>
        <w:rPr>
          <w:rFonts w:hint="eastAsia" w:ascii="仿宋" w:hAnsi="仿宋" w:cs="仿宋"/>
          <w:color w:val="000000" w:themeColor="text1"/>
          <w:highlight w:val="none"/>
          <w14:textFill>
            <w14:solidFill>
              <w14:schemeClr w14:val="tx1"/>
            </w14:solidFill>
          </w14:textFill>
        </w:rPr>
        <w:t>投标文件的修改与撤回</w:t>
      </w:r>
      <w:bookmarkEnd w:id="179"/>
      <w:bookmarkEnd w:id="180"/>
    </w:p>
    <w:p w14:paraId="18722448">
      <w:pPr>
        <w:numPr>
          <w:ilvl w:val="1"/>
          <w:numId w:val="35"/>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投标人在递交投标文件后，可以修改或撤回其投标文件，但招标人必须在规定的递交投标文件截止时间之前，收到投标人发出的修改或撤回的书面通知。</w:t>
      </w:r>
    </w:p>
    <w:p w14:paraId="3AAB8265">
      <w:pPr>
        <w:numPr>
          <w:ilvl w:val="1"/>
          <w:numId w:val="35"/>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投标人的修改或撤回通知应按本须知第12条规定编制、密封、标记和发送。</w:t>
      </w:r>
    </w:p>
    <w:p w14:paraId="2CA9B350">
      <w:pPr>
        <w:numPr>
          <w:ilvl w:val="1"/>
          <w:numId w:val="35"/>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在递交投标文件截止时间之后，投标人不得对其投标文件做任何修改。</w:t>
      </w:r>
    </w:p>
    <w:p w14:paraId="726B48A0">
      <w:pPr>
        <w:numPr>
          <w:ilvl w:val="1"/>
          <w:numId w:val="35"/>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从递交投标文件截止时间至投标人在投标函格式中确定的投标有效期之间的这段时间内，投标人不得撤回其投标文件，否则其投标保证金将按照本须知第10.7条的规定被没收。</w:t>
      </w:r>
    </w:p>
    <w:p w14:paraId="5C6B9E8F">
      <w:pPr>
        <w:spacing w:line="360" w:lineRule="auto"/>
        <w:outlineLvl w:val="1"/>
        <w:rPr>
          <w:rFonts w:ascii="仿宋" w:hAnsi="仿宋"/>
          <w:color w:val="000000" w:themeColor="text1"/>
          <w:highlight w:val="none"/>
          <w14:textFill>
            <w14:solidFill>
              <w14:schemeClr w14:val="tx1"/>
            </w14:solidFill>
          </w14:textFill>
        </w:rPr>
      </w:pPr>
      <w:bookmarkStart w:id="181" w:name="_Toc150933615"/>
      <w:bookmarkStart w:id="182" w:name="_Toc14131"/>
      <w:bookmarkStart w:id="183" w:name="_Toc149230408"/>
      <w:bookmarkStart w:id="184" w:name="_Toc108796152"/>
      <w:bookmarkStart w:id="185" w:name="_Toc18374"/>
      <w:bookmarkStart w:id="186" w:name="_Toc24721"/>
      <w:r>
        <w:rPr>
          <w:rFonts w:hint="eastAsia" w:ascii="仿宋" w:hAnsi="仿宋" w:cs="仿宋"/>
          <w:b/>
          <w:bCs/>
          <w:color w:val="000000" w:themeColor="text1"/>
          <w:highlight w:val="none"/>
          <w14:textFill>
            <w14:solidFill>
              <w14:schemeClr w14:val="tx1"/>
            </w14:solidFill>
          </w14:textFill>
        </w:rPr>
        <w:t>五、开标与评标</w:t>
      </w:r>
      <w:bookmarkEnd w:id="181"/>
      <w:bookmarkEnd w:id="182"/>
      <w:bookmarkEnd w:id="183"/>
      <w:bookmarkEnd w:id="184"/>
      <w:bookmarkEnd w:id="185"/>
      <w:bookmarkEnd w:id="186"/>
    </w:p>
    <w:p w14:paraId="6D724DDB">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87" w:name="_Toc27469"/>
      <w:bookmarkStart w:id="188" w:name="_Toc150933616"/>
      <w:r>
        <w:rPr>
          <w:rFonts w:hint="eastAsia" w:ascii="仿宋" w:hAnsi="仿宋" w:cs="仿宋"/>
          <w:color w:val="000000" w:themeColor="text1"/>
          <w:highlight w:val="none"/>
          <w14:textFill>
            <w14:solidFill>
              <w14:schemeClr w14:val="tx1"/>
            </w14:solidFill>
          </w14:textFill>
        </w:rPr>
        <w:t>开标</w:t>
      </w:r>
      <w:bookmarkEnd w:id="187"/>
      <w:bookmarkEnd w:id="188"/>
    </w:p>
    <w:p w14:paraId="5D04FEB8">
      <w:pPr>
        <w:numPr>
          <w:ilvl w:val="1"/>
          <w:numId w:val="3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招标人或招标代理将在“投标人须知前附表”中规定的时间和地点组织公开开标。</w:t>
      </w:r>
    </w:p>
    <w:p w14:paraId="0DF8FE57">
      <w:pPr>
        <w:numPr>
          <w:ilvl w:val="1"/>
          <w:numId w:val="3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按照第15条规定，同意撤回的投标将不予开封。</w:t>
      </w:r>
    </w:p>
    <w:p w14:paraId="6C6105E6">
      <w:pPr>
        <w:numPr>
          <w:ilvl w:val="1"/>
          <w:numId w:val="3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开标时，将查验投标文件密封情况，确认无误后拆封唱标，若投标文件未密封，招标人应当拒收，如未提交投标保证金（包括投标保证金不符合第 10条规定），评标委员会将宣布该投标文件无效。</w:t>
      </w:r>
    </w:p>
    <w:p w14:paraId="3CDA5C24">
      <w:pPr>
        <w:numPr>
          <w:ilvl w:val="1"/>
          <w:numId w:val="3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开标时，招标人或招标代理将当众宣读投标文件中“开标一览表”的各项内容，以及招标人或招标代理认为合适的其他详细内容。</w:t>
      </w:r>
    </w:p>
    <w:p w14:paraId="225D0FA2">
      <w:pPr>
        <w:numPr>
          <w:ilvl w:val="1"/>
          <w:numId w:val="3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招标人或招标代理将做开标记录，开标记录包括按第16.4条规定在开标时宣读的全部内容。</w:t>
      </w:r>
    </w:p>
    <w:p w14:paraId="38A93207">
      <w:pPr>
        <w:numPr>
          <w:ilvl w:val="1"/>
          <w:numId w:val="36"/>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投标人授权代表未在“投标人须知前附表”中规定的地点参加开标的，视同认可开标结果。</w:t>
      </w:r>
    </w:p>
    <w:p w14:paraId="6BEB3495">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89" w:name="_Toc32753"/>
      <w:bookmarkStart w:id="190" w:name="_Toc150933617"/>
      <w:r>
        <w:rPr>
          <w:rFonts w:hint="eastAsia" w:ascii="仿宋" w:hAnsi="仿宋" w:cs="仿宋"/>
          <w:color w:val="000000" w:themeColor="text1"/>
          <w:highlight w:val="none"/>
          <w14:textFill>
            <w14:solidFill>
              <w14:schemeClr w14:val="tx1"/>
            </w14:solidFill>
          </w14:textFill>
        </w:rPr>
        <w:t>评标委员会</w:t>
      </w:r>
      <w:bookmarkEnd w:id="189"/>
      <w:bookmarkEnd w:id="190"/>
    </w:p>
    <w:p w14:paraId="0C5CEAAC">
      <w:pPr>
        <w:numPr>
          <w:ilvl w:val="1"/>
          <w:numId w:val="37"/>
        </w:numPr>
        <w:spacing w:before="120"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招标人根据要求组建评标委员会，评标委员会负责整个项目的评标工作。</w:t>
      </w:r>
    </w:p>
    <w:p w14:paraId="442D6080">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91" w:name="_Toc150933618"/>
      <w:bookmarkStart w:id="192" w:name="_Toc17353"/>
      <w:r>
        <w:rPr>
          <w:rFonts w:hint="eastAsia" w:ascii="仿宋" w:hAnsi="仿宋" w:cs="仿宋"/>
          <w:color w:val="000000" w:themeColor="text1"/>
          <w:highlight w:val="none"/>
          <w14:textFill>
            <w14:solidFill>
              <w14:schemeClr w14:val="tx1"/>
            </w14:solidFill>
          </w14:textFill>
        </w:rPr>
        <w:t>投标文件的澄清</w:t>
      </w:r>
      <w:bookmarkEnd w:id="191"/>
      <w:bookmarkEnd w:id="192"/>
    </w:p>
    <w:p w14:paraId="0C3F8B11">
      <w:pPr>
        <w:numPr>
          <w:ilvl w:val="1"/>
          <w:numId w:val="38"/>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在评标期间，评标委员会可要求投标人对其投标文件的任何内容进行澄清或者说明，但是澄清或者说明不得超出投标文件的范围或者改变招标文件的实质性内容。有关澄清的要求和答复均应以书面形式提交。</w:t>
      </w:r>
    </w:p>
    <w:p w14:paraId="565841E0">
      <w:pPr>
        <w:numPr>
          <w:ilvl w:val="1"/>
          <w:numId w:val="38"/>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并非对每个投标人都做澄清要求。</w:t>
      </w:r>
    </w:p>
    <w:p w14:paraId="5220A8E1">
      <w:pPr>
        <w:numPr>
          <w:ilvl w:val="1"/>
          <w:numId w:val="38"/>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接到评标委员会澄清要求的投标人应派人按评标委员会通知的时间和地点做出书面澄清，书面澄清的内容须由投标人法定代表人（或单位负责人）或授权代表签署，并作为投标文件的补充部分。</w:t>
      </w:r>
    </w:p>
    <w:p w14:paraId="4BA000E5">
      <w:pPr>
        <w:numPr>
          <w:ilvl w:val="1"/>
          <w:numId w:val="38"/>
        </w:num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接到评标委员会澄清要求的投标人如未按第18条的规定做出澄清，其风险由投标人自行承担。</w:t>
      </w:r>
    </w:p>
    <w:p w14:paraId="39D45A95">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93" w:name="_Toc150933619"/>
      <w:bookmarkStart w:id="194" w:name="_Toc13477"/>
      <w:r>
        <w:rPr>
          <w:rFonts w:hint="eastAsia" w:ascii="仿宋" w:hAnsi="仿宋" w:cs="仿宋"/>
          <w:color w:val="000000" w:themeColor="text1"/>
          <w:highlight w:val="none"/>
          <w14:textFill>
            <w14:solidFill>
              <w14:schemeClr w14:val="tx1"/>
            </w14:solidFill>
          </w14:textFill>
        </w:rPr>
        <w:t>投标文件的初审</w:t>
      </w:r>
      <w:bookmarkEnd w:id="193"/>
      <w:bookmarkEnd w:id="194"/>
    </w:p>
    <w:p w14:paraId="27086F99">
      <w:pPr>
        <w:numPr>
          <w:ilvl w:val="1"/>
          <w:numId w:val="39"/>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评标委员会将初步审查投标文件是否完整、总体编排是否有序、文件签署是否合格、投标人是否提交了投标保证金、有无计算上的错误等。只有通过初步评审的投标才能进入后续详细评审。</w:t>
      </w:r>
    </w:p>
    <w:p w14:paraId="7AB86F1D">
      <w:pPr>
        <w:numPr>
          <w:ilvl w:val="1"/>
          <w:numId w:val="39"/>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当众宣读的“开标一览表”中的各项内容与投标文件中内容不一致的，评标时按照“开标一览表”中的内容评审。但是，如果投标人中标，招标人有权选择当众宣读的“开标一览表”和投标文件中对于自身更加有利的价格</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条款与该投标人签约。如果投标人不接受对上述要求，其投标文件将被拒绝。</w:t>
      </w:r>
    </w:p>
    <w:p w14:paraId="000C6D3E">
      <w:pPr>
        <w:numPr>
          <w:ilvl w:val="1"/>
          <w:numId w:val="39"/>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报价出现前后不一致的，按照下列规则及顺序修正：（一）当众宣读的开标一览表（报价表）与投标文件中开标一览表（报价表）内容不一致的，以当众宣读的开标一览表（报价表）为准。开标一览表（报价表）中不含增值税价格、所报税率计算结果与含增值税价格价格不一致，以不含增值税价格和所报税率为准调整含税价格；（二）投标文件中开标一览表（报价表）内容与投标文件中相应内容不一致的，以开标一览表（报价表）为准；（三）大写金额和小写金额不一致的，以大写金额为准；（四）单价金额小数点或者百分比有明显错位的，以开标一览表的总价为准，并修改单价；（五）</w:t>
      </w:r>
      <w:r>
        <w:rPr>
          <w:rFonts w:hint="eastAsia" w:ascii="仿宋" w:hAnsi="仿宋"/>
          <w:color w:val="000000" w:themeColor="text1"/>
          <w:highlight w:val="none"/>
          <w14:textFill>
            <w14:solidFill>
              <w14:schemeClr w14:val="tx1"/>
            </w14:solidFill>
          </w14:textFill>
        </w:rPr>
        <w:sym w:font="Wingdings 2" w:char="0052"/>
      </w:r>
      <w:r>
        <w:rPr>
          <w:rFonts w:hint="eastAsia" w:ascii="仿宋" w:hAnsi="仿宋" w:cs="仿宋"/>
          <w:color w:val="000000" w:themeColor="text1"/>
          <w:highlight w:val="none"/>
          <w14:textFill>
            <w14:solidFill>
              <w14:schemeClr w14:val="tx1"/>
            </w14:solidFill>
          </w14:textFill>
        </w:rPr>
        <w:t>总价金额与按单价汇总金额不一致的，以总价金额计算结果为准修正单价【总价合同，不涉及据实结算】；</w:t>
      </w:r>
      <w:r>
        <w:rPr>
          <w:rFonts w:hint="eastAsia" w:ascii="仿宋" w:hAnsi="仿宋"/>
          <w:color w:val="000000" w:themeColor="text1"/>
          <w:highlight w:val="none"/>
          <w14:textFill>
            <w14:solidFill>
              <w14:schemeClr w14:val="tx1"/>
            </w14:solidFill>
          </w14:textFill>
        </w:rPr>
        <w:sym w:font="Wingdings 2" w:char="00A3"/>
      </w:r>
      <w:r>
        <w:rPr>
          <w:rFonts w:hint="eastAsia" w:ascii="仿宋" w:hAnsi="仿宋" w:cs="仿宋"/>
          <w:color w:val="000000" w:themeColor="text1"/>
          <w:highlight w:val="none"/>
          <w14:textFill>
            <w14:solidFill>
              <w14:schemeClr w14:val="tx1"/>
            </w14:solidFill>
          </w14:textFill>
        </w:rPr>
        <w:t>总价</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评审价格与按单价汇总金额不一致的，以单价为准修正总价</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评审价格【单价据实结算项目】；（六）同时出现两种以上不一致的，按照前款规定的顺序修正。修正后的报价经投标人书面确认后产生约束力，投标人不确认的，其投标无效。</w:t>
      </w:r>
    </w:p>
    <w:p w14:paraId="786D09B5">
      <w:pPr>
        <w:numPr>
          <w:ilvl w:val="1"/>
          <w:numId w:val="39"/>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对于投标文件中不构成实质性偏差的不正规、不一致或不规则，评标委员会可以接受，但这种接受不能损害或影响任何投标人的相对排序。</w:t>
      </w:r>
    </w:p>
    <w:p w14:paraId="20AEAA99">
      <w:pPr>
        <w:numPr>
          <w:ilvl w:val="1"/>
          <w:numId w:val="39"/>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详细评审之前，评标委员会要审查每份投标文件是否实质上响应了招标文件的要求。实质上响应的投标文件应该是与招标文件要求的全部条款、条件和规格相符，没有重大偏离的投标文件。对关键条文的偏离、保留或反对，例如关于投标保证金、适用法律、税及关税等内容的偏离将被认为是实质上的偏离。评标委员会决定投标文件的响应性只根据投标文件本身的内容，而不寻求外部的证据。</w:t>
      </w:r>
    </w:p>
    <w:p w14:paraId="3CD8FCF8">
      <w:pPr>
        <w:numPr>
          <w:ilvl w:val="1"/>
          <w:numId w:val="39"/>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实质上没有响应招标文件要求的投标文件将被拒绝。投标人不得通过修正或撤消不合要求的偏离或保留从而使其投标文件成为实质上响应的投标文件。如发现下列情况之一的，其投标文件将可能被拒绝：（详见《投标人须知前附表》）</w:t>
      </w:r>
    </w:p>
    <w:p w14:paraId="1623DB8F">
      <w:pPr>
        <w:numPr>
          <w:ilvl w:val="1"/>
          <w:numId w:val="39"/>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保留对通过初审的投标人进行进一步审查的权利。招标人在认为必要的情况下，有权要求已通过初审的投标人提交有关资质证明文件的原件，如发现投标人提供的投标文件与资质原件有不符、伪造或涂改等情况，将取消该投标人的资格。</w:t>
      </w:r>
    </w:p>
    <w:p w14:paraId="2FD5F34B">
      <w:pPr>
        <w:numPr>
          <w:ilvl w:val="1"/>
          <w:numId w:val="39"/>
        </w:num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评标过程中，评标委员会发现投标人的报价明显低于其他投标报价，使得其投标报价可能低于其个别成本的，将可能要要求该投标人作出书面说明并提供相关证明材料。投标人不能合理说明或者不能提供相关证明材料的，由评标委员会认定该投标人以低于成本报价竞标，将可能否决其投标。</w:t>
      </w:r>
    </w:p>
    <w:p w14:paraId="257F3B34">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195" w:name="_Toc150933620"/>
      <w:bookmarkStart w:id="196" w:name="_Toc10203"/>
      <w:r>
        <w:rPr>
          <w:rFonts w:hint="eastAsia" w:ascii="仿宋" w:hAnsi="仿宋" w:cs="仿宋"/>
          <w:color w:val="000000" w:themeColor="text1"/>
          <w:highlight w:val="none"/>
          <w14:textFill>
            <w14:solidFill>
              <w14:schemeClr w14:val="tx1"/>
            </w14:solidFill>
          </w14:textFill>
        </w:rPr>
        <w:t>评标（详见《投标人须知前附表》）</w:t>
      </w:r>
      <w:bookmarkEnd w:id="195"/>
      <w:bookmarkEnd w:id="196"/>
    </w:p>
    <w:p w14:paraId="0254D906">
      <w:pPr>
        <w:spacing w:line="360" w:lineRule="auto"/>
        <w:outlineLvl w:val="1"/>
        <w:rPr>
          <w:rFonts w:ascii="仿宋" w:hAnsi="仿宋"/>
          <w:color w:val="000000" w:themeColor="text1"/>
          <w:highlight w:val="none"/>
          <w14:textFill>
            <w14:solidFill>
              <w14:schemeClr w14:val="tx1"/>
            </w14:solidFill>
          </w14:textFill>
        </w:rPr>
      </w:pPr>
      <w:bookmarkStart w:id="197" w:name="_Toc150933621"/>
      <w:bookmarkStart w:id="198" w:name="_Toc19466"/>
      <w:bookmarkStart w:id="199" w:name="_Toc149230409"/>
      <w:bookmarkStart w:id="200" w:name="_Toc108796153"/>
      <w:bookmarkStart w:id="201" w:name="_Toc31907"/>
      <w:bookmarkStart w:id="202" w:name="_Toc2328"/>
      <w:r>
        <w:rPr>
          <w:rFonts w:hint="eastAsia" w:ascii="仿宋" w:hAnsi="仿宋" w:cs="仿宋"/>
          <w:b/>
          <w:bCs/>
          <w:color w:val="000000" w:themeColor="text1"/>
          <w:highlight w:val="none"/>
          <w14:textFill>
            <w14:solidFill>
              <w14:schemeClr w14:val="tx1"/>
            </w14:solidFill>
          </w14:textFill>
        </w:rPr>
        <w:t>六、保密</w:t>
      </w:r>
      <w:bookmarkEnd w:id="197"/>
      <w:bookmarkEnd w:id="198"/>
      <w:bookmarkEnd w:id="199"/>
      <w:bookmarkEnd w:id="200"/>
      <w:bookmarkEnd w:id="201"/>
      <w:bookmarkEnd w:id="202"/>
    </w:p>
    <w:p w14:paraId="6BCFA9CD">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203" w:name="_Toc14455"/>
      <w:bookmarkStart w:id="204" w:name="_Toc150933622"/>
      <w:r>
        <w:rPr>
          <w:rFonts w:hint="eastAsia" w:ascii="仿宋" w:hAnsi="仿宋" w:cs="仿宋"/>
          <w:color w:val="000000" w:themeColor="text1"/>
          <w:highlight w:val="none"/>
          <w14:textFill>
            <w14:solidFill>
              <w14:schemeClr w14:val="tx1"/>
            </w14:solidFill>
          </w14:textFill>
        </w:rPr>
        <w:t>与招标人的接触</w:t>
      </w:r>
      <w:bookmarkEnd w:id="203"/>
      <w:bookmarkEnd w:id="204"/>
    </w:p>
    <w:p w14:paraId="522AB070">
      <w:pPr>
        <w:numPr>
          <w:ilvl w:val="1"/>
          <w:numId w:val="40"/>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除本须知第18条规定外，公开开标后，直至向中标的投标人授予合同时止，凡是与审查、澄清、评价和比较投标的有关资料以及授标建议等，均不得向投标人及与评标无关的其他人员透露。</w:t>
      </w:r>
    </w:p>
    <w:p w14:paraId="5D5CBF7D">
      <w:pPr>
        <w:numPr>
          <w:ilvl w:val="1"/>
          <w:numId w:val="40"/>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投标人试图对评标委员会的评审、比较或授予合同的决定进行影响，都可能导致其投标文件被拒绝。</w:t>
      </w:r>
    </w:p>
    <w:p w14:paraId="702E8CAC">
      <w:pPr>
        <w:spacing w:line="360" w:lineRule="auto"/>
        <w:rPr>
          <w:rFonts w:ascii="仿宋" w:hAnsi="仿宋"/>
          <w:color w:val="000000" w:themeColor="text1"/>
          <w:highlight w:val="none"/>
          <w14:textFill>
            <w14:solidFill>
              <w14:schemeClr w14:val="tx1"/>
            </w14:solidFill>
          </w14:textFill>
        </w:rPr>
      </w:pPr>
      <w:bookmarkStart w:id="205" w:name="_Toc108796154"/>
      <w:bookmarkStart w:id="206" w:name="_Toc149230410"/>
      <w:bookmarkStart w:id="207" w:name="_Toc2140"/>
      <w:bookmarkStart w:id="208" w:name="_Toc150933623"/>
      <w:bookmarkStart w:id="209" w:name="_Toc16348"/>
      <w:r>
        <w:rPr>
          <w:rFonts w:hint="eastAsia" w:ascii="仿宋" w:hAnsi="仿宋" w:cs="仿宋"/>
          <w:b/>
          <w:bCs/>
          <w:color w:val="000000" w:themeColor="text1"/>
          <w:highlight w:val="none"/>
          <w14:textFill>
            <w14:solidFill>
              <w14:schemeClr w14:val="tx1"/>
            </w14:solidFill>
          </w14:textFill>
        </w:rPr>
        <w:t>七、合同的签订</w:t>
      </w:r>
      <w:bookmarkEnd w:id="205"/>
      <w:bookmarkEnd w:id="206"/>
      <w:bookmarkEnd w:id="207"/>
      <w:bookmarkEnd w:id="208"/>
      <w:bookmarkEnd w:id="209"/>
    </w:p>
    <w:p w14:paraId="27926A18">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210" w:name="_Toc12530"/>
      <w:bookmarkStart w:id="211" w:name="_Toc150933624"/>
      <w:r>
        <w:rPr>
          <w:rFonts w:hint="eastAsia" w:ascii="仿宋" w:hAnsi="仿宋" w:cs="仿宋"/>
          <w:color w:val="000000" w:themeColor="text1"/>
          <w:highlight w:val="none"/>
          <w14:textFill>
            <w14:solidFill>
              <w14:schemeClr w14:val="tx1"/>
            </w14:solidFill>
          </w14:textFill>
        </w:rPr>
        <w:t>定标</w:t>
      </w:r>
      <w:bookmarkEnd w:id="210"/>
      <w:bookmarkEnd w:id="211"/>
    </w:p>
    <w:p w14:paraId="20FD00B6">
      <w:pPr>
        <w:numPr>
          <w:ilvl w:val="1"/>
          <w:numId w:val="41"/>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将按照评标委员会推荐的中标候选人确定中标人。排名第一的中标候选人放弃中标、因不可抗力不能履行合同、不按照招标文件要求提交履约保证金，或者被查实存在影响中标结果的情形，不符合中标条件的，招标人可以按照评标委员会提出的中标候选人名单排序依次确定其他中标候选人为中标人，或重新招标。</w:t>
      </w:r>
    </w:p>
    <w:p w14:paraId="57D36802">
      <w:pPr>
        <w:numPr>
          <w:ilvl w:val="1"/>
          <w:numId w:val="41"/>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根据国家相关法律法规,招标人不得聘用关联方及其控制的会计师事务所、专业评估机构、律师事务所为其提供审计、评估、法律等服务，在上述项目中，若发现投标人为招标人关联方或为招标人关联方所控制，则招标人有权取消其中标资格。其中，控制包括直接控制、间接控制，是指有权决定一个企业的财务和经营决策，并能据以从该企业的经营活动中获取利益</w:t>
      </w:r>
      <w:r>
        <w:rPr>
          <w:rFonts w:hint="eastAsia" w:ascii="仿宋" w:hAnsi="仿宋" w:cs="仿宋"/>
          <w:b/>
          <w:color w:val="000000" w:themeColor="text1"/>
          <w:highlight w:val="none"/>
          <w14:textFill>
            <w14:solidFill>
              <w14:schemeClr w14:val="tx1"/>
            </w14:solidFill>
          </w14:textFill>
        </w:rPr>
        <w:t>。</w:t>
      </w:r>
    </w:p>
    <w:p w14:paraId="0D806623">
      <w:pPr>
        <w:numPr>
          <w:ilvl w:val="1"/>
          <w:numId w:val="41"/>
        </w:num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若发现投标人被列入我行反洗钱关注名单，且根据控制措施禁止与其来往的，招标人有权取消其中选资格。</w:t>
      </w:r>
    </w:p>
    <w:p w14:paraId="53B6FF2C">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bookmarkStart w:id="212" w:name="_Toc150933625"/>
      <w:bookmarkStart w:id="213" w:name="_Toc29743"/>
      <w:r>
        <w:rPr>
          <w:rFonts w:hint="eastAsia" w:ascii="仿宋" w:hAnsi="仿宋" w:cs="仿宋"/>
          <w:color w:val="000000" w:themeColor="text1"/>
          <w:highlight w:val="none"/>
          <w14:textFill>
            <w14:solidFill>
              <w14:schemeClr w14:val="tx1"/>
            </w14:solidFill>
          </w14:textFill>
        </w:rPr>
        <w:t>接受和拒绝任何或所有投标的权力</w:t>
      </w:r>
      <w:bookmarkEnd w:id="212"/>
      <w:bookmarkEnd w:id="213"/>
    </w:p>
    <w:p w14:paraId="4F2AC531">
      <w:pPr>
        <w:numPr>
          <w:ilvl w:val="1"/>
          <w:numId w:val="42"/>
        </w:num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招标人保留在签订合同之前任何时候接受或拒绝任何投标，以及宣布本次采购无效或拒绝所有投标的权力，对受影响的投标人不承担任何责任，也无义务向受影响的投标人解释采取这一行动的理由。</w:t>
      </w:r>
    </w:p>
    <w:p w14:paraId="576786E9">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214" w:name="_Toc12958"/>
      <w:bookmarkStart w:id="215" w:name="_Toc150933626"/>
      <w:r>
        <w:rPr>
          <w:rFonts w:hint="eastAsia" w:ascii="仿宋" w:hAnsi="仿宋" w:cs="仿宋"/>
          <w:color w:val="000000" w:themeColor="text1"/>
          <w:highlight w:val="none"/>
          <w14:textFill>
            <w14:solidFill>
              <w14:schemeClr w14:val="tx1"/>
            </w14:solidFill>
          </w14:textFill>
        </w:rPr>
        <w:t>中标通知书</w:t>
      </w:r>
      <w:bookmarkEnd w:id="214"/>
      <w:bookmarkEnd w:id="215"/>
    </w:p>
    <w:p w14:paraId="4F5648C7">
      <w:pPr>
        <w:numPr>
          <w:ilvl w:val="1"/>
          <w:numId w:val="43"/>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招标人确定后，招标代理机构将向中标人发出中标通知书。</w:t>
      </w:r>
    </w:p>
    <w:p w14:paraId="60AB8EDF">
      <w:pPr>
        <w:numPr>
          <w:ilvl w:val="1"/>
          <w:numId w:val="43"/>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中标通知书是合同的一个组成部分。</w:t>
      </w:r>
    </w:p>
    <w:p w14:paraId="4A1E1CC0">
      <w:pPr>
        <w:numPr>
          <w:ilvl w:val="1"/>
          <w:numId w:val="43"/>
        </w:num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中标人应向招标代理机构交纳招标代理服务费。（详见《投标人须知前附表》）</w:t>
      </w:r>
    </w:p>
    <w:p w14:paraId="37D834FB">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216" w:name="_Toc29773"/>
      <w:bookmarkStart w:id="217" w:name="_Toc150933627"/>
      <w:r>
        <w:rPr>
          <w:rFonts w:hint="eastAsia" w:ascii="仿宋" w:hAnsi="仿宋" w:cs="仿宋"/>
          <w:color w:val="000000" w:themeColor="text1"/>
          <w:highlight w:val="none"/>
          <w14:textFill>
            <w14:solidFill>
              <w14:schemeClr w14:val="tx1"/>
            </w14:solidFill>
          </w14:textFill>
        </w:rPr>
        <w:t>签订合同</w:t>
      </w:r>
      <w:bookmarkEnd w:id="216"/>
      <w:bookmarkEnd w:id="217"/>
    </w:p>
    <w:p w14:paraId="185ABDE5">
      <w:pPr>
        <w:numPr>
          <w:ilvl w:val="1"/>
          <w:numId w:val="44"/>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中标人应按中标通知书规定的时间、地点与招标人签订合同（格式见第四章 《合同格式》），否则按投标有效期内撤回投标文件处理，其投标保证金将被没收。</w:t>
      </w:r>
    </w:p>
    <w:p w14:paraId="404225F5">
      <w:pPr>
        <w:numPr>
          <w:ilvl w:val="1"/>
          <w:numId w:val="44"/>
        </w:num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如果中标人没有按照上述第25条规定执行招标人将有充分理由取消该中标决定，并没收其投标保证金。在此情况下，招标人可重新招标。</w:t>
      </w:r>
    </w:p>
    <w:p w14:paraId="30543608">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218" w:name="_Toc14330"/>
      <w:bookmarkStart w:id="219" w:name="_Toc150933628"/>
      <w:r>
        <w:rPr>
          <w:rFonts w:hint="eastAsia" w:ascii="仿宋" w:hAnsi="仿宋" w:cs="仿宋"/>
          <w:color w:val="000000" w:themeColor="text1"/>
          <w:highlight w:val="none"/>
          <w14:textFill>
            <w14:solidFill>
              <w14:schemeClr w14:val="tx1"/>
            </w14:solidFill>
          </w14:textFill>
        </w:rPr>
        <w:t>履约保证金（详见《投标人须知前附表》）</w:t>
      </w:r>
      <w:bookmarkEnd w:id="218"/>
      <w:bookmarkEnd w:id="219"/>
      <w:bookmarkStart w:id="220" w:name="_Toc4903"/>
    </w:p>
    <w:p w14:paraId="73C7B27E">
      <w:pPr>
        <w:numPr>
          <w:ilvl w:val="1"/>
          <w:numId w:val="4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中标人在合同签定前应向招标人提交履约保证金。中标人提交履约保证金构成合同生效的条件之一。</w:t>
      </w:r>
    </w:p>
    <w:p w14:paraId="5ABE061D">
      <w:pPr>
        <w:numPr>
          <w:ilvl w:val="1"/>
          <w:numId w:val="45"/>
        </w:numPr>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如果中标人没有按照上述第25或26.1条规定执行，招标代理机构和招标人将有充分理由取消该中标决定，并没收其投标保证金。在此情况下，招标人可按照评标委员会提出的中标候选人名单排序依次确定其他中标候选人为中标人，或重新招标。 </w:t>
      </w:r>
    </w:p>
    <w:p w14:paraId="44BC8AB9">
      <w:pPr>
        <w:numPr>
          <w:ilvl w:val="0"/>
          <w:numId w:val="17"/>
        </w:numPr>
        <w:spacing w:line="360" w:lineRule="auto"/>
        <w:outlineLvl w:val="2"/>
        <w:rPr>
          <w:rFonts w:ascii="仿宋" w:hAnsi="仿宋" w:cs="仿宋"/>
          <w:color w:val="000000" w:themeColor="text1"/>
          <w:highlight w:val="none"/>
          <w14:textFill>
            <w14:solidFill>
              <w14:schemeClr w14:val="tx1"/>
            </w14:solidFill>
          </w14:textFill>
        </w:rPr>
      </w:pPr>
      <w:bookmarkStart w:id="221" w:name="_Toc5042"/>
      <w:bookmarkStart w:id="222" w:name="_Toc150933629"/>
      <w:r>
        <w:rPr>
          <w:rFonts w:hint="eastAsia" w:ascii="仿宋" w:hAnsi="仿宋" w:cs="仿宋"/>
          <w:color w:val="000000" w:themeColor="text1"/>
          <w:highlight w:val="none"/>
          <w14:textFill>
            <w14:solidFill>
              <w14:schemeClr w14:val="tx1"/>
            </w14:solidFill>
          </w14:textFill>
        </w:rPr>
        <w:t>投标人不良行为</w:t>
      </w:r>
      <w:bookmarkEnd w:id="221"/>
      <w:bookmarkEnd w:id="222"/>
    </w:p>
    <w:p w14:paraId="0449B0E6">
      <w:pPr>
        <w:numPr>
          <w:ilvl w:val="1"/>
          <w:numId w:val="46"/>
        </w:numPr>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投标人不良行为是指投标人违法违规、违反招标人采购相关规定或不按合同履约等行为，包括但不限于：</w:t>
      </w:r>
    </w:p>
    <w:p w14:paraId="74BCE3BF">
      <w:pPr>
        <w:pStyle w:val="116"/>
        <w:numPr>
          <w:ilvl w:val="0"/>
          <w:numId w:val="47"/>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违反国家法律法规的行为。</w:t>
      </w:r>
    </w:p>
    <w:p w14:paraId="0208C4B1">
      <w:pPr>
        <w:pStyle w:val="116"/>
        <w:numPr>
          <w:ilvl w:val="0"/>
          <w:numId w:val="47"/>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在参加我行采购活动中，存在围标、串标、提交虚假材料、无故拒不签署合同及其它损害我行或其他投标人利益的行为。</w:t>
      </w:r>
    </w:p>
    <w:p w14:paraId="39963BD7">
      <w:pPr>
        <w:pStyle w:val="116"/>
        <w:numPr>
          <w:ilvl w:val="0"/>
          <w:numId w:val="47"/>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违反招标人采购相关规定，干扰招标人采购活动，或影响招标人业务经营正常开展的行为。</w:t>
      </w:r>
    </w:p>
    <w:p w14:paraId="17383FC1">
      <w:pPr>
        <w:pStyle w:val="116"/>
        <w:numPr>
          <w:ilvl w:val="0"/>
          <w:numId w:val="47"/>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中标人不履行合同义务或履行合同义务不符合约定的行为。</w:t>
      </w:r>
    </w:p>
    <w:p w14:paraId="3C71C293">
      <w:pPr>
        <w:pStyle w:val="116"/>
        <w:numPr>
          <w:ilvl w:val="0"/>
          <w:numId w:val="47"/>
        </w:numPr>
        <w:spacing w:before="120" w:line="360" w:lineRule="auto"/>
        <w:ind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泄露招标人保密信息的行为。</w:t>
      </w:r>
    </w:p>
    <w:p w14:paraId="13DBFB45">
      <w:pPr>
        <w:pStyle w:val="116"/>
        <w:numPr>
          <w:ilvl w:val="0"/>
          <w:numId w:val="47"/>
        </w:numPr>
        <w:spacing w:before="120" w:line="360" w:lineRule="auto"/>
        <w:ind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被纳入“负面名单”管理的行贿行为或廉洁问题等行为。</w:t>
      </w:r>
    </w:p>
    <w:p w14:paraId="70E7829E">
      <w:pPr>
        <w:pStyle w:val="116"/>
        <w:numPr>
          <w:ilvl w:val="0"/>
          <w:numId w:val="47"/>
        </w:numPr>
        <w:spacing w:before="120" w:line="360" w:lineRule="auto"/>
        <w:ind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供应商评价中评价结果为“不合格”的行为。</w:t>
      </w:r>
    </w:p>
    <w:p w14:paraId="07D7A46B">
      <w:pPr>
        <w:pStyle w:val="116"/>
        <w:numPr>
          <w:ilvl w:val="0"/>
          <w:numId w:val="47"/>
        </w:numPr>
        <w:spacing w:before="120" w:line="360" w:lineRule="auto"/>
        <w:ind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存在故意泄露招标人客户信息、恶意欺诈、乱收费、暴力催收、虚假宣传、以招标人名义对外宣传、未积极配合招标人处理消费者投诉等侵害招标人利益及消费者合法权益的行为。</w:t>
      </w:r>
    </w:p>
    <w:p w14:paraId="55F6882B">
      <w:pPr>
        <w:pStyle w:val="116"/>
        <w:numPr>
          <w:ilvl w:val="0"/>
          <w:numId w:val="47"/>
        </w:numPr>
        <w:spacing w:before="120" w:line="360" w:lineRule="auto"/>
        <w:ind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入围供应商多次无故不响应招标人采购邀请的行为。</w:t>
      </w:r>
    </w:p>
    <w:p w14:paraId="152CD129">
      <w:pPr>
        <w:pStyle w:val="116"/>
        <w:numPr>
          <w:ilvl w:val="0"/>
          <w:numId w:val="47"/>
        </w:numPr>
        <w:spacing w:before="120" w:line="360" w:lineRule="auto"/>
        <w:ind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其他损害招标人利益的不当行为。</w:t>
      </w:r>
    </w:p>
    <w:p w14:paraId="0D33C7A3">
      <w:pPr>
        <w:pStyle w:val="32"/>
        <w:spacing w:after="0" w:line="360" w:lineRule="auto"/>
        <w:ind w:left="0" w:leftChars="0" w:firstLine="480"/>
        <w:rPr>
          <w:rFonts w:ascii="仿宋" w:hAnsi="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14:textFill>
            <w14:solidFill>
              <w14:schemeClr w14:val="tx1"/>
            </w14:solidFill>
          </w14:textFill>
        </w:rPr>
        <w:t>根据投标人不良行为的严重程度，处罚措施包括警示谈话、暂停或取消入围资格及禁止准入等。</w:t>
      </w:r>
    </w:p>
    <w:p w14:paraId="04BF1FB2">
      <w:pPr>
        <w:pStyle w:val="3"/>
        <w:spacing w:before="0" w:after="0" w:line="360" w:lineRule="auto"/>
        <w:ind w:firstLine="482" w:firstLineChars="200"/>
        <w:jc w:val="center"/>
        <w:rPr>
          <w:rFonts w:ascii="仿宋" w:hAnsi="仿宋" w:cs="仿宋"/>
          <w:color w:val="000000" w:themeColor="text1"/>
          <w:sz w:val="24"/>
          <w:szCs w:val="24"/>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bookmarkStart w:id="223" w:name="_Toc26296"/>
      <w:bookmarkStart w:id="224" w:name="_Toc5782"/>
      <w:bookmarkStart w:id="225" w:name="_Toc11124"/>
      <w:bookmarkStart w:id="226" w:name="_Toc13042"/>
      <w:bookmarkStart w:id="227" w:name="_Toc18686"/>
      <w:bookmarkStart w:id="228" w:name="_Toc1728"/>
      <w:bookmarkStart w:id="229" w:name="_Toc1553"/>
      <w:bookmarkStart w:id="230" w:name="_Toc31074"/>
      <w:bookmarkStart w:id="231" w:name="_Toc9682"/>
    </w:p>
    <w:p w14:paraId="48D536F2">
      <w:pPr>
        <w:pStyle w:val="3"/>
        <w:spacing w:line="360" w:lineRule="auto"/>
        <w:jc w:val="center"/>
        <w:rPr>
          <w:rFonts w:ascii="仿宋" w:hAnsi="仿宋" w:cs="仿宋"/>
          <w:color w:val="000000" w:themeColor="text1"/>
          <w:sz w:val="24"/>
          <w:szCs w:val="24"/>
          <w:highlight w:val="none"/>
          <w14:textFill>
            <w14:solidFill>
              <w14:schemeClr w14:val="tx1"/>
            </w14:solidFill>
          </w14:textFill>
        </w:rPr>
      </w:pPr>
      <w:bookmarkStart w:id="232" w:name="_Toc150933630"/>
      <w:bookmarkStart w:id="233" w:name="_Toc22228"/>
      <w:bookmarkStart w:id="234" w:name="_Toc2434"/>
      <w:bookmarkStart w:id="235" w:name="_Toc149230411"/>
      <w:r>
        <w:rPr>
          <w:rFonts w:hint="eastAsia" w:ascii="仿宋" w:hAnsi="仿宋" w:cs="仿宋"/>
          <w:color w:val="000000" w:themeColor="text1"/>
          <w:sz w:val="24"/>
          <w:szCs w:val="24"/>
          <w:highlight w:val="none"/>
          <w14:textFill>
            <w14:solidFill>
              <w14:schemeClr w14:val="tx1"/>
            </w14:solidFill>
          </w14:textFill>
        </w:rPr>
        <w:t>第三部分 评标办法</w:t>
      </w:r>
      <w:bookmarkEnd w:id="220"/>
      <w:bookmarkEnd w:id="223"/>
      <w:bookmarkEnd w:id="224"/>
      <w:bookmarkEnd w:id="225"/>
      <w:bookmarkEnd w:id="226"/>
      <w:bookmarkEnd w:id="227"/>
      <w:bookmarkEnd w:id="228"/>
      <w:bookmarkEnd w:id="229"/>
      <w:bookmarkEnd w:id="230"/>
      <w:bookmarkEnd w:id="231"/>
      <w:bookmarkEnd w:id="232"/>
      <w:bookmarkEnd w:id="233"/>
      <w:bookmarkEnd w:id="234"/>
      <w:bookmarkEnd w:id="235"/>
    </w:p>
    <w:p w14:paraId="39BDB3CF">
      <w:pPr>
        <w:spacing w:line="312" w:lineRule="auto"/>
        <w:jc w:val="center"/>
        <w:outlineLvl w:val="1"/>
        <w:rPr>
          <w:rStyle w:val="62"/>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cs="仿宋"/>
          <w:b/>
          <w:bCs/>
          <w:color w:val="000000" w:themeColor="text1"/>
          <w:sz w:val="30"/>
          <w:szCs w:val="30"/>
          <w:highlight w:val="none"/>
          <w14:textFill>
            <w14:solidFill>
              <w14:schemeClr w14:val="tx1"/>
            </w14:solidFill>
          </w14:textFill>
        </w:rPr>
        <w:br w:type="page"/>
      </w:r>
      <w:bookmarkStart w:id="236" w:name="_Toc22834"/>
      <w:bookmarkStart w:id="237" w:name="_Toc150933631"/>
      <w:bookmarkStart w:id="238" w:name="_Toc21915"/>
      <w:bookmarkStart w:id="239" w:name="_Toc149230412"/>
      <w:bookmarkStart w:id="240" w:name="_Toc108796156"/>
      <w:r>
        <w:rPr>
          <w:rFonts w:hint="eastAsia" w:ascii="仿宋" w:hAnsi="仿宋" w:cs="仿宋"/>
          <w:b/>
          <w:bCs/>
          <w:color w:val="000000" w:themeColor="text1"/>
          <w:sz w:val="36"/>
          <w:szCs w:val="36"/>
          <w:highlight w:val="none"/>
          <w14:textFill>
            <w14:solidFill>
              <w14:schemeClr w14:val="tx1"/>
            </w14:solidFill>
          </w14:textFill>
        </w:rPr>
        <w:t>评标办法</w:t>
      </w:r>
      <w:bookmarkEnd w:id="236"/>
      <w:bookmarkEnd w:id="237"/>
      <w:bookmarkEnd w:id="238"/>
      <w:bookmarkEnd w:id="239"/>
      <w:bookmarkEnd w:id="240"/>
    </w:p>
    <w:p w14:paraId="26D5D659">
      <w:pPr>
        <w:jc w:val="center"/>
        <w:outlineLvl w:val="1"/>
        <w:rPr>
          <w:rFonts w:ascii="仿宋" w:hAnsi="仿宋" w:cs="仿宋"/>
          <w:b/>
          <w:bCs/>
          <w:color w:val="000000" w:themeColor="text1"/>
          <w:sz w:val="32"/>
          <w:szCs w:val="36"/>
          <w:highlight w:val="none"/>
          <w14:textFill>
            <w14:solidFill>
              <w14:schemeClr w14:val="tx1"/>
            </w14:solidFill>
          </w14:textFill>
        </w:rPr>
      </w:pPr>
      <w:bookmarkStart w:id="241" w:name="_Toc17459"/>
      <w:bookmarkStart w:id="242" w:name="_Toc149230413"/>
      <w:bookmarkStart w:id="243" w:name="_Toc150933632"/>
      <w:bookmarkStart w:id="244" w:name="_Toc108796157"/>
      <w:bookmarkStart w:id="245" w:name="_Toc20321"/>
      <w:r>
        <w:rPr>
          <w:rFonts w:hint="eastAsia" w:ascii="仿宋" w:hAnsi="仿宋" w:cs="仿宋"/>
          <w:b/>
          <w:bCs/>
          <w:color w:val="000000" w:themeColor="text1"/>
          <w:sz w:val="32"/>
          <w:szCs w:val="36"/>
          <w:highlight w:val="none"/>
          <w14:textFill>
            <w14:solidFill>
              <w14:schemeClr w14:val="tx1"/>
            </w14:solidFill>
          </w14:textFill>
        </w:rPr>
        <w:t>（满分：100分）</w:t>
      </w:r>
      <w:bookmarkEnd w:id="241"/>
      <w:bookmarkEnd w:id="242"/>
      <w:bookmarkEnd w:id="243"/>
      <w:bookmarkEnd w:id="244"/>
      <w:bookmarkEnd w:id="245"/>
    </w:p>
    <w:p w14:paraId="7CDBC20E">
      <w:pPr>
        <w:spacing w:line="360" w:lineRule="auto"/>
        <w:ind w:firstLine="482" w:firstLineChars="200"/>
        <w:rPr>
          <w:rFonts w:hint="eastAsia"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综合评分法。其中价格50分、商务10分、技术25分、服务15分。具体评分标准如下：</w:t>
      </w:r>
    </w:p>
    <w:p w14:paraId="147DA6E4">
      <w:pPr>
        <w:pStyle w:val="27"/>
        <w:rPr>
          <w:rFonts w:hint="eastAsia" w:ascii="仿宋" w:hAnsi="仿宋" w:cs="仿宋"/>
          <w:b/>
          <w:bCs/>
          <w:color w:val="000000" w:themeColor="text1"/>
          <w:highlight w:val="none"/>
          <w14:textFill>
            <w14:solidFill>
              <w14:schemeClr w14:val="tx1"/>
            </w14:solidFill>
          </w14:textFill>
        </w:rPr>
      </w:pPr>
    </w:p>
    <w:tbl>
      <w:tblPr>
        <w:tblStyle w:val="3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0"/>
        <w:gridCol w:w="1131"/>
        <w:gridCol w:w="637"/>
        <w:gridCol w:w="2286"/>
        <w:gridCol w:w="583"/>
        <w:gridCol w:w="3894"/>
      </w:tblGrid>
      <w:tr w14:paraId="176E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00E1E1B">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序号</w:t>
            </w:r>
          </w:p>
        </w:tc>
        <w:tc>
          <w:tcPr>
            <w:tcW w:w="1131" w:type="dxa"/>
            <w:tcBorders>
              <w:top w:val="single" w:color="000000" w:sz="4" w:space="0"/>
              <w:left w:val="single" w:color="000000" w:sz="4" w:space="0"/>
              <w:bottom w:val="single" w:color="000000" w:sz="4" w:space="0"/>
              <w:right w:val="single" w:color="000000" w:sz="4" w:space="0"/>
            </w:tcBorders>
            <w:vAlign w:val="center"/>
          </w:tcPr>
          <w:p w14:paraId="660C69B9">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评分项</w:t>
            </w:r>
          </w:p>
        </w:tc>
        <w:tc>
          <w:tcPr>
            <w:tcW w:w="2923" w:type="dxa"/>
            <w:gridSpan w:val="2"/>
            <w:tcBorders>
              <w:top w:val="single" w:color="000000" w:sz="4" w:space="0"/>
              <w:left w:val="single" w:color="000000" w:sz="4" w:space="0"/>
              <w:bottom w:val="single" w:color="000000" w:sz="4" w:space="0"/>
              <w:right w:val="single" w:color="000000" w:sz="4" w:space="0"/>
            </w:tcBorders>
            <w:vAlign w:val="center"/>
          </w:tcPr>
          <w:p w14:paraId="55B7079D">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具体内容</w:t>
            </w:r>
          </w:p>
        </w:tc>
        <w:tc>
          <w:tcPr>
            <w:tcW w:w="583" w:type="dxa"/>
            <w:tcBorders>
              <w:top w:val="single" w:color="000000" w:sz="4" w:space="0"/>
              <w:left w:val="single" w:color="000000" w:sz="4" w:space="0"/>
              <w:bottom w:val="single" w:color="000000" w:sz="4" w:space="0"/>
              <w:right w:val="single" w:color="000000" w:sz="4" w:space="0"/>
            </w:tcBorders>
            <w:vAlign w:val="center"/>
          </w:tcPr>
          <w:p w14:paraId="542427CD">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分值</w:t>
            </w:r>
          </w:p>
        </w:tc>
        <w:tc>
          <w:tcPr>
            <w:tcW w:w="3894" w:type="dxa"/>
            <w:tcBorders>
              <w:top w:val="single" w:color="000000" w:sz="4" w:space="0"/>
              <w:left w:val="single" w:color="000000" w:sz="4" w:space="0"/>
              <w:bottom w:val="single" w:color="000000" w:sz="4" w:space="0"/>
              <w:right w:val="single" w:color="000000" w:sz="4" w:space="0"/>
            </w:tcBorders>
            <w:vAlign w:val="center"/>
          </w:tcPr>
          <w:p w14:paraId="6977FE18">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评分标准</w:t>
            </w:r>
          </w:p>
        </w:tc>
      </w:tr>
      <w:tr w14:paraId="6EFB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24D6E7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1131" w:type="dxa"/>
            <w:tcBorders>
              <w:top w:val="single" w:color="000000" w:sz="4" w:space="0"/>
              <w:left w:val="single" w:color="000000" w:sz="4" w:space="0"/>
              <w:bottom w:val="single" w:color="000000" w:sz="4" w:space="0"/>
              <w:right w:val="single" w:color="000000" w:sz="4" w:space="0"/>
            </w:tcBorders>
            <w:vAlign w:val="center"/>
          </w:tcPr>
          <w:p w14:paraId="71D10E6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价格</w:t>
            </w:r>
          </w:p>
        </w:tc>
        <w:tc>
          <w:tcPr>
            <w:tcW w:w="2923" w:type="dxa"/>
            <w:gridSpan w:val="2"/>
            <w:tcBorders>
              <w:top w:val="single" w:color="000000" w:sz="4" w:space="0"/>
              <w:left w:val="single" w:color="000000" w:sz="4" w:space="0"/>
              <w:bottom w:val="single" w:color="000000" w:sz="4" w:space="0"/>
              <w:right w:val="single" w:color="000000" w:sz="4" w:space="0"/>
            </w:tcBorders>
            <w:vAlign w:val="center"/>
          </w:tcPr>
          <w:p w14:paraId="2D8618F7">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1.供应商价格得分=(基准价/供应商报价）*100*价格权重。（以不含增值税价格计算）</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基准价为进入评审阶段供应商最低报价</w:t>
            </w:r>
          </w:p>
        </w:tc>
        <w:tc>
          <w:tcPr>
            <w:tcW w:w="583" w:type="dxa"/>
            <w:tcBorders>
              <w:top w:val="single" w:color="000000" w:sz="4" w:space="0"/>
              <w:left w:val="single" w:color="000000" w:sz="4" w:space="0"/>
              <w:bottom w:val="single" w:color="000000" w:sz="4" w:space="0"/>
              <w:right w:val="single" w:color="000000" w:sz="4" w:space="0"/>
            </w:tcBorders>
            <w:vAlign w:val="center"/>
          </w:tcPr>
          <w:p w14:paraId="653FE28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50</w:t>
            </w:r>
          </w:p>
        </w:tc>
        <w:tc>
          <w:tcPr>
            <w:tcW w:w="3894" w:type="dxa"/>
            <w:tcBorders>
              <w:top w:val="single" w:color="000000" w:sz="4" w:space="0"/>
              <w:left w:val="single" w:color="000000" w:sz="4" w:space="0"/>
              <w:bottom w:val="single" w:color="000000" w:sz="4" w:space="0"/>
              <w:right w:val="single" w:color="000000" w:sz="4" w:space="0"/>
            </w:tcBorders>
            <w:vAlign w:val="center"/>
          </w:tcPr>
          <w:p w14:paraId="2CEA7CC8">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低价优先法：供应商报价最低的价格为基准价，其价格为满分。</w:t>
            </w:r>
          </w:p>
        </w:tc>
      </w:tr>
      <w:tr w14:paraId="3B85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5599C2C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14:paraId="2C0EA07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商务部分</w:t>
            </w:r>
          </w:p>
        </w:tc>
        <w:tc>
          <w:tcPr>
            <w:tcW w:w="637" w:type="dxa"/>
            <w:tcBorders>
              <w:top w:val="single" w:color="000000" w:sz="4" w:space="0"/>
              <w:left w:val="single" w:color="000000" w:sz="4" w:space="0"/>
              <w:bottom w:val="single" w:color="000000" w:sz="4" w:space="0"/>
              <w:right w:val="single" w:color="000000" w:sz="4" w:space="0"/>
            </w:tcBorders>
            <w:vAlign w:val="center"/>
          </w:tcPr>
          <w:p w14:paraId="6CA7912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综合实力</w:t>
            </w:r>
          </w:p>
        </w:tc>
        <w:tc>
          <w:tcPr>
            <w:tcW w:w="2286" w:type="dxa"/>
            <w:tcBorders>
              <w:top w:val="single" w:color="000000" w:sz="4" w:space="0"/>
              <w:left w:val="single" w:color="000000" w:sz="4" w:space="0"/>
              <w:bottom w:val="single" w:color="000000" w:sz="4" w:space="0"/>
              <w:right w:val="single" w:color="000000" w:sz="4" w:space="0"/>
            </w:tcBorders>
            <w:vAlign w:val="center"/>
          </w:tcPr>
          <w:p w14:paraId="1F62A9C6">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2.1 供应商企业实力、规模、组织机构及场地设施环境、资信状况，和公司财务报表情况等。</w:t>
            </w:r>
          </w:p>
        </w:tc>
        <w:tc>
          <w:tcPr>
            <w:tcW w:w="583" w:type="dxa"/>
            <w:tcBorders>
              <w:top w:val="single" w:color="000000" w:sz="4" w:space="0"/>
              <w:left w:val="single" w:color="000000" w:sz="4" w:space="0"/>
              <w:bottom w:val="single" w:color="000000" w:sz="4" w:space="0"/>
              <w:right w:val="single" w:color="000000" w:sz="4" w:space="0"/>
            </w:tcBorders>
            <w:vAlign w:val="center"/>
          </w:tcPr>
          <w:p w14:paraId="62B73BE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3894" w:type="dxa"/>
            <w:tcBorders>
              <w:top w:val="single" w:color="000000" w:sz="4" w:space="0"/>
              <w:left w:val="single" w:color="000000" w:sz="4" w:space="0"/>
              <w:bottom w:val="single" w:color="000000" w:sz="4" w:space="0"/>
              <w:right w:val="single" w:color="000000" w:sz="4" w:space="0"/>
            </w:tcBorders>
            <w:vAlign w:val="center"/>
          </w:tcPr>
          <w:p w14:paraId="4CBB3574">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按照各家供应商的实际情况分为优、良、一般三个级别评分，优得5-3.5（不含）分、良得3.5-1.5（不含）分、一般得1.5-0分。</w:t>
            </w:r>
          </w:p>
        </w:tc>
      </w:tr>
      <w:tr w14:paraId="450A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525A0B88">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36A5E18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637" w:type="dxa"/>
            <w:tcBorders>
              <w:top w:val="single" w:color="000000" w:sz="4" w:space="0"/>
              <w:left w:val="single" w:color="000000" w:sz="4" w:space="0"/>
              <w:bottom w:val="single" w:color="000000" w:sz="4" w:space="0"/>
              <w:right w:val="single" w:color="000000" w:sz="4" w:space="0"/>
            </w:tcBorders>
            <w:vAlign w:val="center"/>
          </w:tcPr>
          <w:p w14:paraId="2E1B3DE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成功案例</w:t>
            </w:r>
          </w:p>
        </w:tc>
        <w:tc>
          <w:tcPr>
            <w:tcW w:w="2286" w:type="dxa"/>
            <w:tcBorders>
              <w:top w:val="single" w:color="000000" w:sz="4" w:space="0"/>
              <w:left w:val="single" w:color="000000" w:sz="4" w:space="0"/>
              <w:bottom w:val="single" w:color="000000" w:sz="4" w:space="0"/>
              <w:right w:val="single" w:color="000000" w:sz="4" w:space="0"/>
            </w:tcBorders>
            <w:vAlign w:val="center"/>
          </w:tcPr>
          <w:p w14:paraId="3D27B7B7">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2.2 供应商类似项目的成功案例情况。</w:t>
            </w:r>
          </w:p>
        </w:tc>
        <w:tc>
          <w:tcPr>
            <w:tcW w:w="583" w:type="dxa"/>
            <w:tcBorders>
              <w:top w:val="single" w:color="000000" w:sz="4" w:space="0"/>
              <w:left w:val="single" w:color="000000" w:sz="4" w:space="0"/>
              <w:bottom w:val="single" w:color="000000" w:sz="4" w:space="0"/>
              <w:right w:val="single" w:color="000000" w:sz="4" w:space="0"/>
            </w:tcBorders>
            <w:vAlign w:val="center"/>
          </w:tcPr>
          <w:p w14:paraId="79D5DBB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3894" w:type="dxa"/>
            <w:tcBorders>
              <w:top w:val="single" w:color="000000" w:sz="4" w:space="0"/>
              <w:left w:val="single" w:color="000000" w:sz="4" w:space="0"/>
              <w:bottom w:val="single" w:color="000000" w:sz="4" w:space="0"/>
              <w:right w:val="single" w:color="000000" w:sz="4" w:space="0"/>
            </w:tcBorders>
            <w:vAlign w:val="center"/>
          </w:tcPr>
          <w:p w14:paraId="52AEDD5B">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根据供应商2022年1月1日至今的合同金额在50万元及以上的类似成功案例情况，每提供一项得1分，满分为5分。备注：</w:t>
            </w:r>
            <w:r>
              <w:rPr>
                <w:rFonts w:hint="eastAsia" w:ascii="仿宋" w:hAnsi="仿宋" w:eastAsia="仿宋" w:cs="仿宋"/>
                <w:color w:val="000000" w:themeColor="text1"/>
                <w:sz w:val="21"/>
                <w:szCs w:val="21"/>
                <w:highlight w:val="none"/>
                <w14:textFill>
                  <w14:solidFill>
                    <w14:schemeClr w14:val="tx1"/>
                  </w14:solidFill>
                </w14:textFill>
              </w:rPr>
              <w:t>业绩</w:t>
            </w:r>
            <w:r>
              <w:rPr>
                <w:rFonts w:hint="eastAsia" w:ascii="仿宋" w:hAnsi="仿宋" w:eastAsia="仿宋" w:cs="仿宋"/>
                <w:color w:val="000000" w:themeColor="text1"/>
                <w:sz w:val="21"/>
                <w:szCs w:val="21"/>
                <w:highlight w:val="none"/>
                <w:lang w:eastAsia="zh-Hans"/>
                <w14:textFill>
                  <w14:solidFill>
                    <w14:schemeClr w14:val="tx1"/>
                  </w14:solidFill>
                </w14:textFill>
              </w:rPr>
              <w:t>证明材料中</w:t>
            </w:r>
            <w:r>
              <w:rPr>
                <w:rFonts w:hint="eastAsia" w:ascii="仿宋" w:hAnsi="仿宋" w:eastAsia="仿宋" w:cs="仿宋"/>
                <w:color w:val="000000" w:themeColor="text1"/>
                <w:sz w:val="21"/>
                <w:szCs w:val="21"/>
                <w:highlight w:val="none"/>
                <w14:textFill>
                  <w14:solidFill>
                    <w14:schemeClr w14:val="tx1"/>
                  </w14:solidFill>
                </w14:textFill>
              </w:rPr>
              <w:t>一般应包含合同</w:t>
            </w:r>
            <w:r>
              <w:rPr>
                <w:rFonts w:hint="eastAsia" w:ascii="仿宋" w:hAnsi="仿宋" w:eastAsia="仿宋" w:cs="仿宋"/>
                <w:color w:val="000000" w:themeColor="text1"/>
                <w:sz w:val="21"/>
                <w:szCs w:val="21"/>
                <w:highlight w:val="none"/>
                <w:lang w:eastAsia="zh-Hans"/>
                <w14:textFill>
                  <w14:solidFill>
                    <w14:schemeClr w14:val="tx1"/>
                  </w14:solidFill>
                </w14:textFill>
              </w:rPr>
              <w:t>或协议标的物</w:t>
            </w:r>
            <w:r>
              <w:rPr>
                <w:rFonts w:hint="eastAsia" w:ascii="仿宋" w:hAnsi="仿宋" w:eastAsia="仿宋" w:cs="仿宋"/>
                <w:color w:val="000000" w:themeColor="text1"/>
                <w:sz w:val="21"/>
                <w:szCs w:val="21"/>
                <w:highlight w:val="none"/>
                <w14:textFill>
                  <w14:solidFill>
                    <w14:schemeClr w14:val="tx1"/>
                  </w14:solidFill>
                </w14:textFill>
              </w:rPr>
              <w:t>、货物/服务名称、品牌/型号、数量、签订时间、合同</w:t>
            </w:r>
            <w:r>
              <w:rPr>
                <w:rFonts w:hint="eastAsia" w:ascii="仿宋" w:hAnsi="仿宋" w:eastAsia="仿宋" w:cs="仿宋"/>
                <w:color w:val="000000" w:themeColor="text1"/>
                <w:sz w:val="21"/>
                <w:szCs w:val="21"/>
                <w:highlight w:val="none"/>
                <w:lang w:eastAsia="zh-Hans"/>
                <w14:textFill>
                  <w14:solidFill>
                    <w14:schemeClr w14:val="tx1"/>
                  </w14:solidFill>
                </w14:textFill>
              </w:rPr>
              <w:t>或协议</w:t>
            </w:r>
            <w:r>
              <w:rPr>
                <w:rFonts w:hint="eastAsia" w:ascii="仿宋" w:hAnsi="仿宋" w:eastAsia="仿宋" w:cs="仿宋"/>
                <w:color w:val="000000" w:themeColor="text1"/>
                <w:sz w:val="21"/>
                <w:szCs w:val="21"/>
                <w:highlight w:val="none"/>
                <w14:textFill>
                  <w14:solidFill>
                    <w14:schemeClr w14:val="tx1"/>
                  </w14:solidFill>
                </w14:textFill>
              </w:rPr>
              <w:t>正文第一页</w:t>
            </w:r>
            <w:r>
              <w:rPr>
                <w:rFonts w:hint="eastAsia" w:ascii="仿宋" w:hAnsi="仿宋" w:eastAsia="仿宋" w:cs="仿宋"/>
                <w:color w:val="000000" w:themeColor="text1"/>
                <w:sz w:val="21"/>
                <w:szCs w:val="21"/>
                <w:highlight w:val="none"/>
                <w:lang w:eastAsia="zh-CN"/>
                <w14:textFill>
                  <w14:solidFill>
                    <w14:schemeClr w14:val="tx1"/>
                  </w14:solidFill>
                </w14:textFill>
              </w:rPr>
              <w:t>、合同金额、产品信息、签字盖章页</w:t>
            </w:r>
            <w:r>
              <w:rPr>
                <w:rFonts w:hint="eastAsia" w:ascii="仿宋" w:hAnsi="仿宋" w:eastAsia="仿宋" w:cs="仿宋"/>
                <w:color w:val="000000" w:themeColor="text1"/>
                <w:sz w:val="21"/>
                <w:szCs w:val="21"/>
                <w:highlight w:val="none"/>
                <w14:textFill>
                  <w14:solidFill>
                    <w14:schemeClr w14:val="tx1"/>
                  </w14:solidFill>
                </w14:textFill>
              </w:rPr>
              <w:t>等关键信息，</w:t>
            </w:r>
            <w:r>
              <w:rPr>
                <w:rFonts w:hint="eastAsia" w:ascii="仿宋" w:hAnsi="仿宋" w:eastAsia="仿宋" w:cs="仿宋"/>
                <w:color w:val="000000" w:themeColor="text1"/>
                <w:sz w:val="21"/>
                <w:szCs w:val="21"/>
                <w:highlight w:val="none"/>
                <w:lang w:val="en-US" w:eastAsia="zh-CN"/>
                <w14:textFill>
                  <w14:solidFill>
                    <w14:schemeClr w14:val="tx1"/>
                  </w14:solidFill>
                </w14:textFill>
              </w:rPr>
              <w:t>且必须至少提供一份与合同相对应的发票复印件，</w:t>
            </w:r>
            <w:r>
              <w:rPr>
                <w:rFonts w:hint="eastAsia" w:ascii="仿宋" w:hAnsi="仿宋" w:eastAsia="仿宋" w:cs="仿宋"/>
                <w:color w:val="000000" w:themeColor="text1"/>
                <w:sz w:val="21"/>
                <w:szCs w:val="21"/>
                <w:highlight w:val="none"/>
                <w14:textFill>
                  <w14:solidFill>
                    <w14:schemeClr w14:val="tx1"/>
                  </w14:solidFill>
                </w14:textFill>
              </w:rPr>
              <w:t>如评分专家组认定提供材料不能完整提供上述信息</w:t>
            </w:r>
            <w:r>
              <w:rPr>
                <w:rFonts w:hint="eastAsia" w:ascii="仿宋" w:hAnsi="仿宋" w:eastAsia="仿宋" w:cs="仿宋"/>
                <w:color w:val="000000" w:themeColor="text1"/>
                <w:sz w:val="21"/>
                <w:szCs w:val="21"/>
                <w:highlight w:val="none"/>
                <w:lang w:eastAsia="zh-Hans"/>
                <w14:textFill>
                  <w14:solidFill>
                    <w14:schemeClr w14:val="tx1"/>
                  </w14:solidFill>
                </w14:textFill>
              </w:rPr>
              <w:t>，则可能被视为证明</w:t>
            </w:r>
            <w:r>
              <w:rPr>
                <w:rFonts w:hint="eastAsia" w:ascii="仿宋" w:hAnsi="仿宋" w:eastAsia="仿宋" w:cs="仿宋"/>
                <w:color w:val="000000" w:themeColor="text1"/>
                <w:sz w:val="21"/>
                <w:szCs w:val="21"/>
                <w:highlight w:val="none"/>
                <w14:textFill>
                  <w14:solidFill>
                    <w14:schemeClr w14:val="tx1"/>
                  </w14:solidFill>
                </w14:textFill>
              </w:rPr>
              <w:t>无效。合同</w:t>
            </w:r>
            <w:r>
              <w:rPr>
                <w:rFonts w:hint="eastAsia" w:ascii="仿宋" w:hAnsi="仿宋" w:eastAsia="仿宋" w:cs="仿宋"/>
                <w:color w:val="000000" w:themeColor="text1"/>
                <w:sz w:val="21"/>
                <w:szCs w:val="21"/>
                <w:highlight w:val="none"/>
                <w:lang w:eastAsia="zh-Hans"/>
                <w14:textFill>
                  <w14:solidFill>
                    <w14:schemeClr w14:val="tx1"/>
                  </w14:solidFill>
                </w14:textFill>
              </w:rPr>
              <w:t>或协议</w:t>
            </w:r>
            <w:r>
              <w:rPr>
                <w:rFonts w:hint="eastAsia" w:ascii="仿宋" w:hAnsi="仿宋" w:eastAsia="仿宋" w:cs="仿宋"/>
                <w:color w:val="000000" w:themeColor="text1"/>
                <w:sz w:val="21"/>
                <w:szCs w:val="21"/>
                <w:highlight w:val="none"/>
                <w14:textFill>
                  <w14:solidFill>
                    <w14:schemeClr w14:val="tx1"/>
                  </w14:solidFill>
                </w14:textFill>
              </w:rPr>
              <w:t>的买方必须为最终用户</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以上材料未提供者不得分。</w:t>
            </w:r>
          </w:p>
        </w:tc>
      </w:tr>
      <w:tr w14:paraId="3145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6E337F6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14:paraId="63D265E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技术部分</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14:paraId="218A6F2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产品技术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2DB40619">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3.1 所投产品系列的技术指标和综合性能、外观状况，及对需求要求的响应程度，能否很好地实现需求中各项功能要求，综合考虑：所投产品对技术指标、性能及应用情况的响应程度。</w:t>
            </w:r>
          </w:p>
        </w:tc>
        <w:tc>
          <w:tcPr>
            <w:tcW w:w="583" w:type="dxa"/>
            <w:tcBorders>
              <w:top w:val="single" w:color="000000" w:sz="4" w:space="0"/>
              <w:left w:val="single" w:color="000000" w:sz="4" w:space="0"/>
              <w:bottom w:val="single" w:color="000000" w:sz="4" w:space="0"/>
              <w:right w:val="single" w:color="000000" w:sz="4" w:space="0"/>
            </w:tcBorders>
            <w:vAlign w:val="center"/>
          </w:tcPr>
          <w:p w14:paraId="2EE14F3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3894" w:type="dxa"/>
            <w:tcBorders>
              <w:top w:val="single" w:color="000000" w:sz="4" w:space="0"/>
              <w:left w:val="single" w:color="000000" w:sz="4" w:space="0"/>
              <w:bottom w:val="single" w:color="000000" w:sz="4" w:space="0"/>
              <w:right w:val="single" w:color="000000" w:sz="4" w:space="0"/>
            </w:tcBorders>
            <w:vAlign w:val="center"/>
          </w:tcPr>
          <w:p w14:paraId="5C7CF230">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r>
      <w:tr w14:paraId="6DDD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55128AD">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567CDE9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14:paraId="74AEC171">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0E8B8162">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3.2 根据投标产品优于招标文件技术指标要求的情况进行综合评分。</w:t>
            </w:r>
          </w:p>
        </w:tc>
        <w:tc>
          <w:tcPr>
            <w:tcW w:w="583" w:type="dxa"/>
            <w:tcBorders>
              <w:top w:val="single" w:color="000000" w:sz="4" w:space="0"/>
              <w:left w:val="single" w:color="000000" w:sz="4" w:space="0"/>
              <w:bottom w:val="single" w:color="000000" w:sz="4" w:space="0"/>
              <w:right w:val="single" w:color="000000" w:sz="4" w:space="0"/>
            </w:tcBorders>
            <w:vAlign w:val="center"/>
          </w:tcPr>
          <w:p w14:paraId="3E8DE1F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10</w:t>
            </w:r>
          </w:p>
        </w:tc>
        <w:tc>
          <w:tcPr>
            <w:tcW w:w="3894" w:type="dxa"/>
            <w:tcBorders>
              <w:top w:val="single" w:color="000000" w:sz="4" w:space="0"/>
              <w:left w:val="single" w:color="000000" w:sz="4" w:space="0"/>
              <w:bottom w:val="single" w:color="000000" w:sz="4" w:space="0"/>
              <w:right w:val="single" w:color="000000" w:sz="4" w:space="0"/>
            </w:tcBorders>
            <w:vAlign w:val="center"/>
          </w:tcPr>
          <w:p w14:paraId="4DA45BE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根据投标产品</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技术性能</w:t>
            </w: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优于招标文件技术指标要求的情况进行综合评分。其中所有产品基材优于招标文件要求的，得</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4分，其他有1项优于招标文件要求的，得1.5分，满分为10分。注：各投标人应明显标注出参数配置。届时以评标委员会评审为准。</w:t>
            </w:r>
          </w:p>
        </w:tc>
      </w:tr>
      <w:tr w14:paraId="0324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15006D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781208C2">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14:paraId="5F6DF21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项目管理与实施</w:t>
            </w:r>
          </w:p>
        </w:tc>
        <w:tc>
          <w:tcPr>
            <w:tcW w:w="2286" w:type="dxa"/>
            <w:tcBorders>
              <w:top w:val="single" w:color="000000" w:sz="4" w:space="0"/>
              <w:left w:val="single" w:color="000000" w:sz="4" w:space="0"/>
              <w:bottom w:val="single" w:color="000000" w:sz="4" w:space="0"/>
              <w:right w:val="single" w:color="000000" w:sz="4" w:space="0"/>
            </w:tcBorders>
            <w:vAlign w:val="center"/>
          </w:tcPr>
          <w:p w14:paraId="14ED36BA">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4.1项目实施计划能否保证项目顺利实施，主要包括计划的完整性、合理性、先进性，交货、安装、调试、项目验收对业主的有利性等。</w:t>
            </w:r>
          </w:p>
        </w:tc>
        <w:tc>
          <w:tcPr>
            <w:tcW w:w="583" w:type="dxa"/>
            <w:tcBorders>
              <w:top w:val="single" w:color="000000" w:sz="4" w:space="0"/>
              <w:left w:val="single" w:color="000000" w:sz="4" w:space="0"/>
              <w:bottom w:val="single" w:color="000000" w:sz="4" w:space="0"/>
              <w:right w:val="single" w:color="000000" w:sz="4" w:space="0"/>
            </w:tcBorders>
            <w:vAlign w:val="center"/>
          </w:tcPr>
          <w:p w14:paraId="7BF729B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3894" w:type="dxa"/>
            <w:tcBorders>
              <w:top w:val="single" w:color="000000" w:sz="4" w:space="0"/>
              <w:left w:val="single" w:color="000000" w:sz="4" w:space="0"/>
              <w:bottom w:val="single" w:color="000000" w:sz="4" w:space="0"/>
              <w:right w:val="single" w:color="000000" w:sz="4" w:space="0"/>
            </w:tcBorders>
            <w:vAlign w:val="center"/>
          </w:tcPr>
          <w:p w14:paraId="1B32B735">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r>
      <w:tr w14:paraId="1841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1C18BFD">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33E98AA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14:paraId="71BEC441">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5638BC6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4.2项目家具质量控制方案，及相应的承诺等。</w:t>
            </w:r>
          </w:p>
        </w:tc>
        <w:tc>
          <w:tcPr>
            <w:tcW w:w="583" w:type="dxa"/>
            <w:tcBorders>
              <w:top w:val="single" w:color="000000" w:sz="4" w:space="0"/>
              <w:left w:val="single" w:color="000000" w:sz="4" w:space="0"/>
              <w:bottom w:val="single" w:color="000000" w:sz="4" w:space="0"/>
              <w:right w:val="single" w:color="000000" w:sz="4" w:space="0"/>
            </w:tcBorders>
            <w:vAlign w:val="center"/>
          </w:tcPr>
          <w:p w14:paraId="5A33A8A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3894" w:type="dxa"/>
            <w:tcBorders>
              <w:top w:val="single" w:color="000000" w:sz="4" w:space="0"/>
              <w:left w:val="single" w:color="000000" w:sz="4" w:space="0"/>
              <w:bottom w:val="single" w:color="000000" w:sz="4" w:space="0"/>
              <w:right w:val="single" w:color="000000" w:sz="4" w:space="0"/>
            </w:tcBorders>
            <w:vAlign w:val="center"/>
          </w:tcPr>
          <w:p w14:paraId="6DD2D058">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r>
      <w:tr w14:paraId="0179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68E5C72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14:paraId="616C3C6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服务部分</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14:paraId="19A2EB6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售后服务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06C2D72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5.1售后服务体系、服务分支机构和人员水平等。</w:t>
            </w:r>
          </w:p>
        </w:tc>
        <w:tc>
          <w:tcPr>
            <w:tcW w:w="583" w:type="dxa"/>
            <w:tcBorders>
              <w:top w:val="single" w:color="000000" w:sz="4" w:space="0"/>
              <w:left w:val="single" w:color="000000" w:sz="4" w:space="0"/>
              <w:bottom w:val="single" w:color="000000" w:sz="4" w:space="0"/>
              <w:right w:val="single" w:color="000000" w:sz="4" w:space="0"/>
            </w:tcBorders>
            <w:vAlign w:val="center"/>
          </w:tcPr>
          <w:p w14:paraId="4F5FBBB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3894" w:type="dxa"/>
            <w:tcBorders>
              <w:top w:val="single" w:color="000000" w:sz="4" w:space="0"/>
              <w:left w:val="single" w:color="000000" w:sz="4" w:space="0"/>
              <w:bottom w:val="single" w:color="000000" w:sz="4" w:space="0"/>
              <w:right w:val="single" w:color="000000" w:sz="4" w:space="0"/>
            </w:tcBorders>
            <w:vAlign w:val="center"/>
          </w:tcPr>
          <w:p w14:paraId="078912E4">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r>
      <w:tr w14:paraId="2A7D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EDF5BDD">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4AAF441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14:paraId="583408C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72B02FD1">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5.2保修期内服务方案，免费保修服务承诺、上门现场服务、故障响应支持、电话及现场技术支持等。</w:t>
            </w:r>
          </w:p>
        </w:tc>
        <w:tc>
          <w:tcPr>
            <w:tcW w:w="583" w:type="dxa"/>
            <w:tcBorders>
              <w:top w:val="single" w:color="000000" w:sz="4" w:space="0"/>
              <w:left w:val="single" w:color="000000" w:sz="4" w:space="0"/>
              <w:bottom w:val="single" w:color="000000" w:sz="4" w:space="0"/>
              <w:right w:val="single" w:color="000000" w:sz="4" w:space="0"/>
            </w:tcBorders>
            <w:vAlign w:val="center"/>
          </w:tcPr>
          <w:p w14:paraId="2AB6ACF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3894" w:type="dxa"/>
            <w:tcBorders>
              <w:top w:val="single" w:color="000000" w:sz="4" w:space="0"/>
              <w:left w:val="single" w:color="000000" w:sz="4" w:space="0"/>
              <w:bottom w:val="single" w:color="000000" w:sz="4" w:space="0"/>
              <w:right w:val="single" w:color="000000" w:sz="4" w:space="0"/>
            </w:tcBorders>
            <w:vAlign w:val="center"/>
          </w:tcPr>
          <w:p w14:paraId="77FB0EFB">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r>
      <w:tr w14:paraId="18B2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6D5D440E">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1475F63D">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14:paraId="29497CAE">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2BD60765">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5.3备品备件库和备品备件的满足程度。</w:t>
            </w:r>
          </w:p>
        </w:tc>
        <w:tc>
          <w:tcPr>
            <w:tcW w:w="583" w:type="dxa"/>
            <w:tcBorders>
              <w:top w:val="single" w:color="000000" w:sz="4" w:space="0"/>
              <w:left w:val="single" w:color="000000" w:sz="4" w:space="0"/>
              <w:bottom w:val="single" w:color="000000" w:sz="4" w:space="0"/>
              <w:right w:val="single" w:color="000000" w:sz="4" w:space="0"/>
            </w:tcBorders>
            <w:vAlign w:val="center"/>
          </w:tcPr>
          <w:p w14:paraId="25DEB84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3894" w:type="dxa"/>
            <w:tcBorders>
              <w:top w:val="single" w:color="000000" w:sz="4" w:space="0"/>
              <w:left w:val="single" w:color="000000" w:sz="4" w:space="0"/>
              <w:bottom w:val="single" w:color="000000" w:sz="4" w:space="0"/>
              <w:right w:val="single" w:color="000000" w:sz="4" w:space="0"/>
            </w:tcBorders>
            <w:vAlign w:val="center"/>
          </w:tcPr>
          <w:p w14:paraId="1513520F">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按照各家供应商的应答情况分为优、良、一般三个级别评分，优得2-1.4（不含）分、良得1.4-0.6（不含）分、一般得0.6-0分。</w:t>
            </w:r>
          </w:p>
        </w:tc>
      </w:tr>
      <w:tr w14:paraId="6FD8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C2BD78F">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74A3A504">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637" w:type="dxa"/>
            <w:tcBorders>
              <w:top w:val="single" w:color="000000" w:sz="4" w:space="0"/>
              <w:left w:val="single" w:color="000000" w:sz="4" w:space="0"/>
              <w:bottom w:val="single" w:color="000000" w:sz="4" w:space="0"/>
              <w:right w:val="single" w:color="000000" w:sz="4" w:space="0"/>
            </w:tcBorders>
            <w:vAlign w:val="center"/>
          </w:tcPr>
          <w:p w14:paraId="6798038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优于需求的服务承诺</w:t>
            </w:r>
          </w:p>
        </w:tc>
        <w:tc>
          <w:tcPr>
            <w:tcW w:w="2286" w:type="dxa"/>
            <w:tcBorders>
              <w:top w:val="single" w:color="000000" w:sz="4" w:space="0"/>
              <w:left w:val="single" w:color="000000" w:sz="4" w:space="0"/>
              <w:bottom w:val="single" w:color="000000" w:sz="4" w:space="0"/>
              <w:right w:val="single" w:color="000000" w:sz="4" w:space="0"/>
            </w:tcBorders>
            <w:vAlign w:val="center"/>
          </w:tcPr>
          <w:p w14:paraId="45BAB39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5.4优于技术需求的其他服务承诺，包括单不限于延长免费维保期、质保期内只换不修等其他更好的服务等。</w:t>
            </w:r>
          </w:p>
        </w:tc>
        <w:tc>
          <w:tcPr>
            <w:tcW w:w="583" w:type="dxa"/>
            <w:tcBorders>
              <w:top w:val="single" w:color="000000" w:sz="4" w:space="0"/>
              <w:left w:val="single" w:color="000000" w:sz="4" w:space="0"/>
              <w:bottom w:val="single" w:color="000000" w:sz="4" w:space="0"/>
              <w:right w:val="single" w:color="000000" w:sz="4" w:space="0"/>
            </w:tcBorders>
            <w:vAlign w:val="center"/>
          </w:tcPr>
          <w:p w14:paraId="45E46B9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3894" w:type="dxa"/>
            <w:tcBorders>
              <w:top w:val="single" w:color="000000" w:sz="4" w:space="0"/>
              <w:left w:val="single" w:color="000000" w:sz="4" w:space="0"/>
              <w:bottom w:val="single" w:color="000000" w:sz="4" w:space="0"/>
              <w:right w:val="single" w:color="000000" w:sz="4" w:space="0"/>
            </w:tcBorders>
            <w:vAlign w:val="center"/>
          </w:tcPr>
          <w:p w14:paraId="4D2B76D9">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每提供一项，得1.5分，满分为3分，不提供或提供无实质服务的不得分。</w:t>
            </w:r>
          </w:p>
        </w:tc>
      </w:tr>
    </w:tbl>
    <w:p w14:paraId="1E1BBCFF">
      <w:pPr>
        <w:pStyle w:val="27"/>
        <w:rPr>
          <w:rFonts w:hint="eastAsia"/>
          <w:color w:val="000000" w:themeColor="text1"/>
          <w:highlight w:val="none"/>
          <w14:textFill>
            <w14:solidFill>
              <w14:schemeClr w14:val="tx1"/>
            </w14:solidFill>
          </w14:textFill>
        </w:rPr>
      </w:pPr>
    </w:p>
    <w:p w14:paraId="3EDE833D">
      <w:pPr>
        <w:spacing w:line="360" w:lineRule="auto"/>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注：</w:t>
      </w:r>
    </w:p>
    <w:p w14:paraId="4334E53C">
      <w:pPr>
        <w:numPr>
          <w:ilvl w:val="0"/>
          <w:numId w:val="48"/>
        </w:numPr>
        <w:spacing w:line="360" w:lineRule="auto"/>
        <w:ind w:firstLine="482" w:firstLineChars="200"/>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计算得分应四舍五入，精确到小数点后两位。</w:t>
      </w:r>
    </w:p>
    <w:p w14:paraId="6FB7D5B9">
      <w:pPr>
        <w:numPr>
          <w:ilvl w:val="0"/>
          <w:numId w:val="48"/>
        </w:numPr>
        <w:spacing w:line="360" w:lineRule="auto"/>
        <w:ind w:firstLine="482" w:firstLineChars="200"/>
        <w:rPr>
          <w:rFonts w:ascii="仿宋" w:hAnsi="仿宋" w:cs="仿宋"/>
          <w:b/>
          <w:color w:val="000000" w:themeColor="text1"/>
          <w:szCs w:val="18"/>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如投标人开具可抵扣的增值税专用发票，按不含增值税报价计算评标价格，否则按含增值税报价计算评标价格。</w:t>
      </w:r>
    </w:p>
    <w:p w14:paraId="7B0EAB04">
      <w:pPr>
        <w:numPr>
          <w:ilvl w:val="0"/>
          <w:numId w:val="48"/>
        </w:numPr>
        <w:spacing w:line="360" w:lineRule="auto"/>
        <w:ind w:firstLine="482" w:firstLineChars="200"/>
        <w:rPr>
          <w:rFonts w:ascii="仿宋" w:hAnsi="仿宋" w:cs="仿宋"/>
          <w:color w:val="000000" w:themeColor="text1"/>
          <w:highlight w:val="none"/>
          <w14:textFill>
            <w14:solidFill>
              <w14:schemeClr w14:val="tx1"/>
            </w14:solidFill>
          </w14:textFill>
        </w:rPr>
      </w:pPr>
      <w:r>
        <w:rPr>
          <w:rFonts w:hint="eastAsia" w:ascii="仿宋" w:hAnsi="仿宋" w:cs="仿宋"/>
          <w:b/>
          <w:color w:val="000000" w:themeColor="text1"/>
          <w:szCs w:val="18"/>
          <w:highlight w:val="none"/>
          <w14:textFill>
            <w14:solidFill>
              <w14:schemeClr w14:val="tx1"/>
            </w14:solidFill>
          </w14:textFill>
        </w:rPr>
        <w:t>在评标过程中，评标委员会发现投标人的报价明显低于其他投标报价，使得其投标报价可能低于其个别成本的，将可能要求该投标人作出书面说明并提供相关证明材料。投标人不能合理说明或者不能提供相关证明材料的，由评标委员会认定该投标人以低于成本报价竞标，将可能否决其投标。</w:t>
      </w:r>
    </w:p>
    <w:p w14:paraId="01936D5B">
      <w:pPr>
        <w:numPr>
          <w:ilvl w:val="0"/>
          <w:numId w:val="48"/>
        </w:numPr>
        <w:spacing w:line="360" w:lineRule="auto"/>
        <w:ind w:firstLine="482" w:firstLineChars="200"/>
        <w:rPr>
          <w:rFonts w:ascii="仿宋" w:hAnsi="仿宋" w:cs="仿宋"/>
          <w:color w:val="000000" w:themeColor="text1"/>
          <w:highlight w:val="none"/>
          <w14:textFill>
            <w14:solidFill>
              <w14:schemeClr w14:val="tx1"/>
            </w14:solidFill>
          </w14:textFill>
        </w:rPr>
      </w:pPr>
      <w:r>
        <w:rPr>
          <w:rFonts w:hint="eastAsia" w:ascii="仿宋" w:hAnsi="仿宋" w:cs="仿宋"/>
          <w:b/>
          <w:color w:val="000000" w:themeColor="text1"/>
          <w:szCs w:val="18"/>
          <w:highlight w:val="none"/>
          <w14:textFill>
            <w14:solidFill>
              <w14:schemeClr w14:val="tx1"/>
            </w14:solidFill>
          </w14:textFill>
        </w:rPr>
        <w:t>投标人须对本章中的评分要求逐项说明在投标文件中的装订页码，并将该页装订在投标文件的首页。</w:t>
      </w:r>
    </w:p>
    <w:p w14:paraId="1D5DE3B0">
      <w:pPr>
        <w:rPr>
          <w:rFonts w:ascii="仿宋" w:hAnsi="仿宋" w:cs="仿宋"/>
          <w:color w:val="000000" w:themeColor="text1"/>
          <w:sz w:val="52"/>
          <w:szCs w:val="52"/>
          <w:highlight w:val="none"/>
          <w14:textFill>
            <w14:solidFill>
              <w14:schemeClr w14:val="tx1"/>
            </w14:solidFill>
          </w14:textFill>
        </w:rPr>
      </w:pPr>
      <w:bookmarkStart w:id="246" w:name="_Toc31009"/>
      <w:bookmarkStart w:id="247" w:name="_Toc2988"/>
      <w:bookmarkStart w:id="248" w:name="_Toc27730"/>
      <w:bookmarkStart w:id="249" w:name="_Toc6400"/>
      <w:bookmarkStart w:id="250" w:name="_Toc15413"/>
      <w:bookmarkStart w:id="251" w:name="_Toc31751"/>
      <w:bookmarkStart w:id="252" w:name="_Toc16111"/>
      <w:bookmarkStart w:id="253" w:name="_Toc25267"/>
      <w:bookmarkStart w:id="254" w:name="_Toc23594"/>
      <w:bookmarkStart w:id="255" w:name="_Toc17947"/>
      <w:bookmarkStart w:id="256" w:name="_Toc30351"/>
      <w:r>
        <w:rPr>
          <w:rFonts w:hint="eastAsia" w:ascii="仿宋" w:hAnsi="仿宋" w:cs="仿宋"/>
          <w:color w:val="000000" w:themeColor="text1"/>
          <w:sz w:val="52"/>
          <w:szCs w:val="52"/>
          <w:highlight w:val="none"/>
          <w14:textFill>
            <w14:solidFill>
              <w14:schemeClr w14:val="tx1"/>
            </w14:solidFill>
          </w14:textFill>
        </w:rPr>
        <w:br w:type="page"/>
      </w:r>
    </w:p>
    <w:p w14:paraId="6EC83A01">
      <w:pPr>
        <w:pStyle w:val="3"/>
        <w:spacing w:line="360" w:lineRule="auto"/>
        <w:jc w:val="center"/>
        <w:rPr>
          <w:rFonts w:ascii="仿宋" w:hAnsi="仿宋" w:cs="仿宋"/>
          <w:color w:val="000000" w:themeColor="text1"/>
          <w:sz w:val="52"/>
          <w:szCs w:val="52"/>
          <w:highlight w:val="none"/>
          <w14:textFill>
            <w14:solidFill>
              <w14:schemeClr w14:val="tx1"/>
            </w14:solidFill>
          </w14:textFill>
        </w:rPr>
      </w:pPr>
      <w:bookmarkStart w:id="257" w:name="_Toc150933633"/>
      <w:bookmarkStart w:id="258" w:name="_Toc21449"/>
      <w:bookmarkStart w:id="259" w:name="_Toc149230414"/>
      <w:r>
        <w:rPr>
          <w:rFonts w:hint="eastAsia" w:ascii="仿宋" w:hAnsi="仿宋" w:cs="仿宋"/>
          <w:color w:val="000000" w:themeColor="text1"/>
          <w:sz w:val="24"/>
          <w:szCs w:val="24"/>
          <w:highlight w:val="none"/>
          <w14:textFill>
            <w14:solidFill>
              <w14:schemeClr w14:val="tx1"/>
            </w14:solidFill>
          </w14:textFill>
        </w:rPr>
        <w:t>第四部分 合同主要条款及格式</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DDD07E2">
      <w:pPr>
        <w:widowControl/>
        <w:ind w:firstLine="480" w:firstLineChars="200"/>
        <w:jc w:val="left"/>
        <w:rPr>
          <w:rFonts w:ascii="仿宋" w:hAnsi="仿宋" w:cs="仿宋"/>
          <w:color w:val="000000" w:themeColor="text1"/>
          <w:highlight w:val="none"/>
          <w14:textFill>
            <w14:solidFill>
              <w14:schemeClr w14:val="tx1"/>
            </w14:solidFill>
          </w14:textFill>
        </w:rPr>
      </w:pPr>
    </w:p>
    <w:p w14:paraId="1E8228D8">
      <w:pPr>
        <w:spacing w:line="360" w:lineRule="auto"/>
        <w:jc w:val="center"/>
        <w:rPr>
          <w:rFonts w:hint="eastAsia" w:ascii="宋体" w:hAnsi="宋体"/>
          <w:b/>
          <w:bCs/>
          <w:color w:val="000000" w:themeColor="text1"/>
          <w:sz w:val="72"/>
          <w:szCs w:val="72"/>
          <w:highlight w:val="none"/>
          <w14:textFill>
            <w14:solidFill>
              <w14:schemeClr w14:val="tx1"/>
            </w14:solidFill>
          </w14:textFill>
        </w:rPr>
      </w:pPr>
    </w:p>
    <w:p w14:paraId="088D9851">
      <w:pPr>
        <w:spacing w:line="360" w:lineRule="auto"/>
        <w:jc w:val="center"/>
        <w:rPr>
          <w:rFonts w:hint="eastAsia" w:ascii="宋体" w:hAnsi="宋体"/>
          <w:b/>
          <w:bCs/>
          <w:color w:val="000000" w:themeColor="text1"/>
          <w:sz w:val="72"/>
          <w:szCs w:val="72"/>
          <w:highlight w:val="none"/>
          <w14:textFill>
            <w14:solidFill>
              <w14:schemeClr w14:val="tx1"/>
            </w14:solidFill>
          </w14:textFill>
        </w:rPr>
      </w:pPr>
    </w:p>
    <w:p w14:paraId="0A4717EB">
      <w:pPr>
        <w:spacing w:line="360" w:lineRule="auto"/>
        <w:jc w:val="center"/>
        <w:rPr>
          <w:rFonts w:hint="eastAsia" w:ascii="宋体" w:hAnsi="宋体"/>
          <w:b/>
          <w:bCs/>
          <w:color w:val="000000" w:themeColor="text1"/>
          <w:sz w:val="72"/>
          <w:szCs w:val="72"/>
          <w:highlight w:val="none"/>
          <w14:textFill>
            <w14:solidFill>
              <w14:schemeClr w14:val="tx1"/>
            </w14:solidFill>
          </w14:textFill>
        </w:rPr>
      </w:pPr>
    </w:p>
    <w:p w14:paraId="330D881D">
      <w:pPr>
        <w:spacing w:line="360" w:lineRule="auto"/>
        <w:jc w:val="center"/>
        <w:rPr>
          <w:rFonts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14:textFill>
            <w14:solidFill>
              <w14:schemeClr w14:val="tx1"/>
            </w14:solidFill>
          </w14:textFill>
        </w:rPr>
        <w:t>货物类采购合同</w:t>
      </w:r>
    </w:p>
    <w:p w14:paraId="1DFC5A3F">
      <w:pPr>
        <w:jc w:val="center"/>
        <w:rPr>
          <w:rFonts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(20</w:t>
      </w:r>
      <w:r>
        <w:rPr>
          <w:rFonts w:ascii="宋体" w:hAnsi="宋体"/>
          <w:b/>
          <w:bCs/>
          <w:color w:val="000000" w:themeColor="text1"/>
          <w:sz w:val="36"/>
          <w:szCs w:val="36"/>
          <w:highlight w:val="none"/>
          <w14:textFill>
            <w14:solidFill>
              <w14:schemeClr w14:val="tx1"/>
            </w14:solidFill>
          </w14:textFill>
        </w:rPr>
        <w:t>21</w:t>
      </w:r>
      <w:r>
        <w:rPr>
          <w:rFonts w:hint="eastAsia" w:ascii="宋体" w:hAnsi="宋体"/>
          <w:b/>
          <w:bCs/>
          <w:color w:val="000000" w:themeColor="text1"/>
          <w:sz w:val="36"/>
          <w:szCs w:val="36"/>
          <w:highlight w:val="none"/>
          <w14:textFill>
            <w14:solidFill>
              <w14:schemeClr w14:val="tx1"/>
            </w14:solidFill>
          </w14:textFill>
        </w:rPr>
        <w:t>年版）</w:t>
      </w:r>
    </w:p>
    <w:p w14:paraId="6086BC6C">
      <w:pPr>
        <w:tabs>
          <w:tab w:val="left" w:pos="2871"/>
        </w:tabs>
        <w:rPr>
          <w:rFonts w:ascii="宋体" w:hAnsi="宋体"/>
          <w:b/>
          <w:bCs/>
          <w:color w:val="000000" w:themeColor="text1"/>
          <w:sz w:val="36"/>
          <w:szCs w:val="36"/>
          <w:highlight w:val="none"/>
          <w14:textFill>
            <w14:solidFill>
              <w14:schemeClr w14:val="tx1"/>
            </w14:solidFill>
          </w14:textFill>
        </w:rPr>
      </w:pPr>
    </w:p>
    <w:p w14:paraId="3577EB0B">
      <w:pPr>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合同编号：</w:t>
      </w:r>
    </w:p>
    <w:p w14:paraId="03ADEED3">
      <w:pPr>
        <w:rPr>
          <w:rFonts w:ascii="宋体" w:hAnsi="宋体"/>
          <w:b/>
          <w:bCs/>
          <w:color w:val="000000" w:themeColor="text1"/>
          <w:sz w:val="36"/>
          <w:szCs w:val="36"/>
          <w:highlight w:val="none"/>
          <w14:textFill>
            <w14:solidFill>
              <w14:schemeClr w14:val="tx1"/>
            </w14:solidFill>
          </w14:textFill>
        </w:rPr>
      </w:pPr>
    </w:p>
    <w:p w14:paraId="0EC4A585">
      <w:pPr>
        <w:rPr>
          <w:rFonts w:ascii="宋体" w:hAnsi="宋体"/>
          <w:b/>
          <w:bCs/>
          <w:color w:val="000000" w:themeColor="text1"/>
          <w:sz w:val="36"/>
          <w:szCs w:val="36"/>
          <w:highlight w:val="none"/>
          <w14:textFill>
            <w14:solidFill>
              <w14:schemeClr w14:val="tx1"/>
            </w14:solidFill>
          </w14:textFill>
        </w:rPr>
      </w:pPr>
    </w:p>
    <w:p w14:paraId="64A7F221">
      <w:pPr>
        <w:rPr>
          <w:rFonts w:ascii="宋体" w:hAnsi="宋体"/>
          <w:b/>
          <w:bCs/>
          <w:color w:val="000000" w:themeColor="text1"/>
          <w:sz w:val="36"/>
          <w:szCs w:val="36"/>
          <w:highlight w:val="none"/>
          <w14:textFill>
            <w14:solidFill>
              <w14:schemeClr w14:val="tx1"/>
            </w14:solidFill>
          </w14:textFill>
        </w:rPr>
      </w:pPr>
    </w:p>
    <w:p w14:paraId="07565805">
      <w:pPr>
        <w:rPr>
          <w:rFonts w:ascii="宋体" w:hAnsi="宋体"/>
          <w:b/>
          <w:bCs/>
          <w:color w:val="000000" w:themeColor="text1"/>
          <w:sz w:val="36"/>
          <w:szCs w:val="36"/>
          <w:highlight w:val="none"/>
          <w14:textFill>
            <w14:solidFill>
              <w14:schemeClr w14:val="tx1"/>
            </w14:solidFill>
          </w14:textFill>
        </w:rPr>
      </w:pPr>
    </w:p>
    <w:p w14:paraId="282D5018">
      <w:pPr>
        <w:rPr>
          <w:rFonts w:ascii="宋体" w:hAnsi="宋体"/>
          <w:b/>
          <w:bCs/>
          <w:color w:val="000000" w:themeColor="text1"/>
          <w:sz w:val="36"/>
          <w:szCs w:val="36"/>
          <w:highlight w:val="none"/>
          <w14:textFill>
            <w14:solidFill>
              <w14:schemeClr w14:val="tx1"/>
            </w14:solidFill>
          </w14:textFill>
        </w:rPr>
      </w:pPr>
    </w:p>
    <w:p w14:paraId="1B92EBFF">
      <w:pPr>
        <w:rPr>
          <w:rFonts w:ascii="宋体" w:hAnsi="宋体"/>
          <w:b/>
          <w:bCs/>
          <w:color w:val="000000" w:themeColor="text1"/>
          <w:sz w:val="36"/>
          <w:szCs w:val="36"/>
          <w:highlight w:val="none"/>
          <w14:textFill>
            <w14:solidFill>
              <w14:schemeClr w14:val="tx1"/>
            </w14:solidFill>
          </w14:textFill>
        </w:rPr>
      </w:pPr>
    </w:p>
    <w:p w14:paraId="3B5263F0">
      <w:pPr>
        <w:jc w:val="center"/>
        <w:rPr>
          <w:rFonts w:ascii="宋体" w:hAnsi="宋体"/>
          <w:color w:val="000000" w:themeColor="text1"/>
          <w:sz w:val="48"/>
          <w:szCs w:val="48"/>
          <w:highlight w:val="none"/>
          <w14:textFill>
            <w14:solidFill>
              <w14:schemeClr w14:val="tx1"/>
            </w14:solidFill>
          </w14:textFill>
        </w:rPr>
      </w:pPr>
    </w:p>
    <w:p w14:paraId="36F01DA4">
      <w:pPr>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 w:val="48"/>
          <w:szCs w:val="48"/>
          <w:highlight w:val="none"/>
          <w14:textFill>
            <w14:solidFill>
              <w14:schemeClr w14:val="tx1"/>
            </w14:solidFill>
          </w14:textFill>
        </w:rPr>
        <w:t>XXXX年X月</w:t>
      </w:r>
    </w:p>
    <w:p w14:paraId="3A1B167C">
      <w:pPr>
        <w:tabs>
          <w:tab w:val="left" w:pos="600"/>
        </w:tabs>
        <w:spacing w:line="360" w:lineRule="auto"/>
        <w:rPr>
          <w:rFonts w:ascii="宋体" w:hAnsi="Arial"/>
          <w:color w:val="000000" w:themeColor="text1"/>
          <w:highlight w:val="none"/>
          <w:u w:val="single"/>
          <w14:textFill>
            <w14:solidFill>
              <w14:schemeClr w14:val="tx1"/>
            </w14:solidFill>
          </w14:textFill>
        </w:rPr>
      </w:pPr>
    </w:p>
    <w:p w14:paraId="6CC974BC">
      <w:pPr>
        <w:tabs>
          <w:tab w:val="left" w:pos="600"/>
        </w:tabs>
        <w:spacing w:line="360" w:lineRule="auto"/>
        <w:rPr>
          <w:rFonts w:ascii="宋体" w:hAnsi="Arial"/>
          <w:color w:val="000000" w:themeColor="text1"/>
          <w:highlight w:val="none"/>
          <w:u w:val="single"/>
          <w14:textFill>
            <w14:solidFill>
              <w14:schemeClr w14:val="tx1"/>
            </w14:solidFill>
          </w14:textFill>
        </w:rPr>
      </w:pPr>
    </w:p>
    <w:p w14:paraId="482CB65A">
      <w:pPr>
        <w:tabs>
          <w:tab w:val="left" w:pos="600"/>
        </w:tabs>
        <w:spacing w:line="360" w:lineRule="auto"/>
        <w:rPr>
          <w:rFonts w:ascii="宋体" w:hAnsi="Arial"/>
          <w:color w:val="000000" w:themeColor="text1"/>
          <w:highlight w:val="none"/>
          <w:u w:val="single"/>
          <w14:textFill>
            <w14:solidFill>
              <w14:schemeClr w14:val="tx1"/>
            </w14:solidFill>
          </w14:textFill>
        </w:rPr>
      </w:pPr>
    </w:p>
    <w:p w14:paraId="59D2A66B">
      <w:pPr>
        <w:tabs>
          <w:tab w:val="left" w:pos="600"/>
        </w:tabs>
        <w:spacing w:line="360" w:lineRule="auto"/>
        <w:rPr>
          <w:rFonts w:ascii="宋体" w:hAnsi="Arial"/>
          <w:color w:val="000000" w:themeColor="text1"/>
          <w:highlight w:val="none"/>
          <w:u w:val="single"/>
          <w14:textFill>
            <w14:solidFill>
              <w14:schemeClr w14:val="tx1"/>
            </w14:solidFill>
          </w14:textFill>
        </w:rPr>
      </w:pPr>
    </w:p>
    <w:p w14:paraId="51424350">
      <w:pPr>
        <w:rPr>
          <w:rFonts w:hint="default" w:ascii="宋体" w:hAnsi="宋体" w:eastAsia="仿宋"/>
          <w:color w:val="000000" w:themeColor="text1"/>
          <w:sz w:val="26"/>
          <w:highlight w:val="none"/>
          <w:u w:val="single"/>
          <w:lang w:val="en-US" w:eastAsia="zh-CN"/>
          <w14:textFill>
            <w14:solidFill>
              <w14:schemeClr w14:val="tx1"/>
            </w14:solidFill>
          </w14:textFill>
        </w:rPr>
      </w:pPr>
      <w:r>
        <w:rPr>
          <w:rFonts w:hint="eastAsia" w:ascii="宋体" w:hAnsi="宋体"/>
          <w:color w:val="000000" w:themeColor="text1"/>
          <w:sz w:val="26"/>
          <w:highlight w:val="none"/>
          <w:u w:val="single"/>
          <w14:textFill>
            <w14:solidFill>
              <w14:schemeClr w14:val="tx1"/>
            </w14:solidFill>
          </w14:textFill>
        </w:rPr>
        <w:t xml:space="preserve">                                                         </w:t>
      </w:r>
      <w:r>
        <w:rPr>
          <w:rFonts w:hint="eastAsia" w:ascii="宋体" w:hAnsi="宋体"/>
          <w:color w:val="000000" w:themeColor="text1"/>
          <w:sz w:val="26"/>
          <w:highlight w:val="none"/>
          <w:u w:val="single"/>
          <w:lang w:val="en-US" w:eastAsia="zh-CN"/>
          <w14:textFill>
            <w14:solidFill>
              <w14:schemeClr w14:val="tx1"/>
            </w14:solidFill>
          </w14:textFill>
        </w:rPr>
        <w:t xml:space="preserve">      </w:t>
      </w:r>
    </w:p>
    <w:p w14:paraId="78F7FE6F">
      <w:pPr>
        <w:wordWrap w:val="0"/>
        <w:spacing w:line="52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甲方名称：</w:t>
      </w:r>
      <w:r>
        <w:rPr>
          <w:rFonts w:hint="eastAsia" w:ascii="宋体" w:hAnsi="宋体"/>
          <w:color w:val="000000" w:themeColor="text1"/>
          <w:szCs w:val="21"/>
          <w:highlight w:val="none"/>
          <w14:textFill>
            <w14:solidFill>
              <w14:schemeClr w14:val="tx1"/>
            </w14:solidFill>
          </w14:textFill>
        </w:rPr>
        <w:t xml:space="preserve">中国银行股份有限公司青海省分行   </w:t>
      </w:r>
      <w:r>
        <w:rPr>
          <w:rFonts w:hint="eastAsia" w:ascii="宋体" w:hAnsi="宋体"/>
          <w:b/>
          <w:color w:val="000000" w:themeColor="text1"/>
          <w:szCs w:val="21"/>
          <w:highlight w:val="none"/>
          <w14:textFill>
            <w14:solidFill>
              <w14:schemeClr w14:val="tx1"/>
            </w14:solidFill>
          </w14:textFill>
        </w:rPr>
        <w:t xml:space="preserve">      乙方名称：</w:t>
      </w:r>
    </w:p>
    <w:p w14:paraId="4561B777">
      <w:pPr>
        <w:wordWrap w:val="0"/>
        <w:spacing w:line="52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地    址：</w:t>
      </w:r>
    </w:p>
    <w:p w14:paraId="1FC3004A">
      <w:pPr>
        <w:wordWrap w:val="0"/>
        <w:spacing w:line="52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邮    编：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邮    编：</w:t>
      </w:r>
    </w:p>
    <w:p w14:paraId="2C21F917">
      <w:pPr>
        <w:wordWrap w:val="0"/>
        <w:spacing w:line="52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项目联系人：</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 项目联系人：</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14:paraId="2742F32B">
      <w:pPr>
        <w:wordWrap w:val="0"/>
        <w:spacing w:line="52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电</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话：</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电</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话：</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14:paraId="2A2A7A58">
      <w:pPr>
        <w:wordWrap w:val="0"/>
        <w:spacing w:line="52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传</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真：</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传</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真：</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5EBBDE7">
      <w:pPr>
        <w:wordWrap w:val="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p>
    <w:p w14:paraId="73B9F794">
      <w:pPr>
        <w:spacing w:line="360" w:lineRule="auto"/>
        <w:ind w:firstLine="564"/>
        <w:rPr>
          <w:rFonts w:ascii="宋体" w:hAnsi="Arial"/>
          <w:color w:val="000000" w:themeColor="text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根据相关法律法规的规定</w:t>
      </w:r>
      <w:r>
        <w:rPr>
          <w:rFonts w:hint="eastAsia" w:ascii="宋体" w:hAnsi="Arial"/>
          <w:color w:val="000000" w:themeColor="text1"/>
          <w:szCs w:val="21"/>
          <w:highlight w:val="none"/>
          <w14:textFill>
            <w14:solidFill>
              <w14:schemeClr w14:val="tx1"/>
            </w14:solidFill>
          </w14:textFill>
        </w:rPr>
        <w:t>，</w:t>
      </w:r>
      <w:r>
        <w:rPr>
          <w:rFonts w:hint="eastAsia" w:ascii="宋体" w:hAnsi="Arial"/>
          <w:color w:val="000000" w:themeColor="text1"/>
          <w:highlight w:val="none"/>
          <w14:textFill>
            <w14:solidFill>
              <w14:schemeClr w14:val="tx1"/>
            </w14:solidFill>
          </w14:textFill>
        </w:rPr>
        <w:t>合同双方就乙方向甲方提供本合同项下货物事宜，经协商达成一致，确立本合同，以明确双方的权利、义务，确保合同双方共同执行。</w:t>
      </w:r>
    </w:p>
    <w:p w14:paraId="63791C99">
      <w:pPr>
        <w:spacing w:line="360" w:lineRule="auto"/>
        <w:ind w:firstLine="564"/>
        <w:rPr>
          <w:color w:val="000000" w:themeColor="text1"/>
          <w:highlight w:val="none"/>
          <w14:textFill>
            <w14:solidFill>
              <w14:schemeClr w14:val="tx1"/>
            </w14:solidFill>
          </w14:textFill>
        </w:rPr>
      </w:pPr>
    </w:p>
    <w:p w14:paraId="54B4EB7E">
      <w:pPr>
        <w:spacing w:line="360" w:lineRule="auto"/>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【第一条】采购内容</w:t>
      </w:r>
    </w:p>
    <w:p w14:paraId="48432D05">
      <w:pPr>
        <w:spacing w:line="360" w:lineRule="auto"/>
        <w:rPr>
          <w:rFonts w:ascii="宋体"/>
          <w:color w:val="000000" w:themeColor="text1"/>
          <w:highlight w:val="none"/>
          <w:u w:val="single"/>
          <w14:textFill>
            <w14:solidFill>
              <w14:schemeClr w14:val="tx1"/>
            </w14:solidFill>
          </w14:textFill>
        </w:rPr>
      </w:pPr>
      <w:r>
        <w:rPr>
          <w:rFonts w:ascii="宋体"/>
          <w:color w:val="000000" w:themeColor="text1"/>
          <w:highlight w:val="non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1.</w:t>
      </w:r>
      <w:r>
        <w:rPr>
          <w:rFonts w:hint="eastAsia" w:ascii="宋体"/>
          <w:color w:val="000000" w:themeColor="text1"/>
          <w:highlight w:val="none"/>
          <w14:textFill>
            <w14:solidFill>
              <w14:schemeClr w14:val="tx1"/>
            </w14:solidFill>
          </w14:textFill>
        </w:rPr>
        <w:t>货物内容：</w:t>
      </w:r>
      <w:r>
        <w:rPr>
          <w:rFonts w:hint="eastAsia" w:ascii="宋体" w:hAnsi="Arial"/>
          <w:color w:val="000000" w:themeColor="text1"/>
          <w:highlight w:val="none"/>
          <w14:textFill>
            <w14:solidFill>
              <w14:schemeClr w14:val="tx1"/>
            </w14:solidFill>
          </w14:textFill>
        </w:rPr>
        <w:t>甲方向乙方购买</w:t>
      </w:r>
      <w:r>
        <w:rPr>
          <w:rFonts w:hint="eastAsia" w:ascii="宋体" w:hAnsi="Arial"/>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。货物的生产厂家、名称、规格、型号、货物号、数量、金额、质量及技术标准，详见本合同附件（一）。</w:t>
      </w:r>
    </w:p>
    <w:p w14:paraId="0F529F39">
      <w:pPr>
        <w:spacing w:line="360" w:lineRule="auto"/>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合同总价款：人民币（大写）_________元整，￥（小写）___</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___；其中不含</w:t>
      </w:r>
      <w:r>
        <w:rPr>
          <w:rFonts w:hint="eastAsia" w:ascii="宋体"/>
          <w:color w:val="000000" w:themeColor="text1"/>
          <w:highlight w:val="none"/>
          <w:lang w:val="en-GB"/>
          <w14:textFill>
            <w14:solidFill>
              <w14:schemeClr w14:val="tx1"/>
            </w14:solidFill>
          </w14:textFill>
        </w:rPr>
        <w:t>增值</w:t>
      </w:r>
      <w:r>
        <w:rPr>
          <w:rFonts w:hint="eastAsia" w:ascii="宋体"/>
          <w:color w:val="000000" w:themeColor="text1"/>
          <w:highlight w:val="none"/>
          <w14:textFill>
            <w14:solidFill>
              <w14:schemeClr w14:val="tx1"/>
            </w14:solidFill>
          </w14:textFill>
        </w:rPr>
        <w:t>税价共计人民币（大写）_________元整，￥（小写）___</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___，增值税金额共计人民币（大写）_________元整，￥（小写）___</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___。</w:t>
      </w:r>
      <w:r>
        <w:rPr>
          <w:rFonts w:hint="eastAsia" w:ascii="宋体" w:cs="宋体"/>
          <w:color w:val="000000" w:themeColor="text1"/>
          <w:kern w:val="0"/>
          <w:szCs w:val="21"/>
          <w:highlight w:val="none"/>
          <w14:textFill>
            <w14:solidFill>
              <w14:schemeClr w14:val="tx1"/>
            </w14:solidFill>
          </w14:textFill>
        </w:rPr>
        <w:t>如后续相关法律法规、监管规定等变化导致本合同约定使用的增值税税率发生调整，不影响合同中的不含增值税价格，双方适用调整后的增值税税率计算增值税金额，如调整后的含增值税价格超过本合同约定的总价款，甲方有权通知乙方中止合同的履行，待甲方完成内部程序后与乙方据实结算，结算期限另行协商确定。</w:t>
      </w:r>
    </w:p>
    <w:p w14:paraId="29E71EEC">
      <w:pPr>
        <w:spacing w:line="360" w:lineRule="auto"/>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【第二条】交货方法、交货期限、到货地点及风险转移</w:t>
      </w:r>
    </w:p>
    <w:p w14:paraId="124E23ED">
      <w:pPr>
        <w:spacing w:line="360" w:lineRule="auto"/>
        <w:rPr>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1.</w:t>
      </w:r>
      <w:r>
        <w:rPr>
          <w:rFonts w:hint="eastAsia" w:ascii="宋体"/>
          <w:color w:val="000000" w:themeColor="text1"/>
          <w:highlight w:val="none"/>
          <w14:textFill>
            <w14:solidFill>
              <w14:schemeClr w14:val="tx1"/>
            </w14:solidFill>
          </w14:textFill>
        </w:rPr>
        <w:t>乙方应在合同生效后[</w:t>
      </w:r>
      <w:r>
        <w:rPr>
          <w:rFonts w:hint="eastAsia" w:ascii="宋体"/>
          <w:color w:val="000000" w:themeColor="text1"/>
          <w:highlight w:val="none"/>
          <w:u w:val="single"/>
          <w14:textFill>
            <w14:solidFill>
              <w14:schemeClr w14:val="tx1"/>
            </w14:solidFill>
          </w14:textFill>
        </w:rPr>
        <w:t>　</w:t>
      </w:r>
      <w:r>
        <w:rPr>
          <w:rFonts w:hint="eastAsia" w:ascii="宋体"/>
          <w:color w:val="000000" w:themeColor="text1"/>
          <w:highlight w:val="none"/>
          <w14:textFill>
            <w14:solidFill>
              <w14:schemeClr w14:val="tx1"/>
            </w14:solidFill>
          </w14:textFill>
        </w:rPr>
        <w:t>]日内</w:t>
      </w:r>
      <w:r>
        <w:rPr>
          <w:rFonts w:ascii="宋体"/>
          <w:color w:val="000000" w:themeColor="text1"/>
          <w:highlight w:val="none"/>
          <w14:textFill>
            <w14:solidFill>
              <w14:schemeClr w14:val="tx1"/>
            </w14:solidFill>
          </w14:textFill>
        </w:rPr>
        <w:t>,</w:t>
      </w:r>
      <w:r>
        <w:rPr>
          <w:rFonts w:ascii="宋体" w:hAnsi="Arial"/>
          <w:color w:val="000000" w:themeColor="text1"/>
          <w:highlight w:val="none"/>
          <w14:textFill>
            <w14:solidFill>
              <w14:schemeClr w14:val="tx1"/>
            </w14:solidFill>
          </w14:textFill>
        </w:rPr>
        <w:t xml:space="preserve"> </w:t>
      </w:r>
      <w:r>
        <w:rPr>
          <w:rFonts w:hint="eastAsia" w:ascii="宋体" w:hAnsi="Arial"/>
          <w:color w:val="000000" w:themeColor="text1"/>
          <w:highlight w:val="none"/>
          <w14:textFill>
            <w14:solidFill>
              <w14:schemeClr w14:val="tx1"/>
            </w14:solidFill>
          </w14:textFill>
        </w:rPr>
        <w:t>将甲方所订购的本合同项下货物交付至甲方指定的到货地点。</w:t>
      </w:r>
    </w:p>
    <w:p w14:paraId="1BF8801A">
      <w:pPr>
        <w:spacing w:line="360" w:lineRule="auto"/>
        <w:ind w:firstLine="42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本合同项下货物的运输及保险全部由乙方负责。乙方须采取适于安全、准时完成本合同项下义务的运输措施，将货物运至甲方指定的到货地点；对本合同项下的货物进行全面保险，包括但不限于购买或者要求承运人购买货运保险及任何第三者责任险，并对其在项目现场提供服务、培训的人员进行保险。</w:t>
      </w:r>
    </w:p>
    <w:p w14:paraId="66DEE848">
      <w:pPr>
        <w:spacing w:line="360" w:lineRule="auto"/>
        <w:ind w:firstLine="420"/>
        <w:rPr>
          <w:rFonts w:ascii="宋体"/>
          <w:i/>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运输费和保险费[</w:t>
      </w:r>
      <w:r>
        <w:rPr>
          <w:rFonts w:hint="eastAsia" w:ascii="宋体" w:hAnsi="宋体" w:cs="宋体"/>
          <w:b/>
          <w:bCs/>
          <w:color w:val="000000" w:themeColor="text1"/>
          <w:highlight w:val="none"/>
          <w14:textFill>
            <w14:solidFill>
              <w14:schemeClr w14:val="tx1"/>
            </w14:solidFill>
          </w14:textFill>
        </w:rPr>
        <w:t>□</w:t>
      </w:r>
      <w:r>
        <w:rPr>
          <w:rFonts w:hint="eastAsia" w:ascii="宋体"/>
          <w:i/>
          <w:color w:val="000000" w:themeColor="text1"/>
          <w:highlight w:val="none"/>
          <w14:textFill>
            <w14:solidFill>
              <w14:schemeClr w14:val="tx1"/>
            </w14:solidFill>
          </w14:textFill>
        </w:rPr>
        <w:t xml:space="preserve">包含/ </w:t>
      </w:r>
      <w:r>
        <w:rPr>
          <w:rFonts w:hint="eastAsia" w:ascii="宋体" w:hAnsi="宋体" w:cs="宋体"/>
          <w:b/>
          <w:bCs/>
          <w:color w:val="000000" w:themeColor="text1"/>
          <w:highlight w:val="none"/>
          <w14:textFill>
            <w14:solidFill>
              <w14:schemeClr w14:val="tx1"/>
            </w14:solidFill>
          </w14:textFill>
        </w:rPr>
        <w:t>□</w:t>
      </w:r>
      <w:r>
        <w:rPr>
          <w:rFonts w:hint="eastAsia" w:ascii="宋体"/>
          <w:i/>
          <w:color w:val="000000" w:themeColor="text1"/>
          <w:highlight w:val="none"/>
          <w14:textFill>
            <w14:solidFill>
              <w14:schemeClr w14:val="tx1"/>
            </w14:solidFill>
          </w14:textFill>
        </w:rPr>
        <w:t>不包含</w:t>
      </w:r>
      <w:r>
        <w:rPr>
          <w:rFonts w:hint="eastAsia" w:ascii="宋体"/>
          <w:color w:val="000000" w:themeColor="text1"/>
          <w:highlight w:val="none"/>
          <w14:textFill>
            <w14:solidFill>
              <w14:schemeClr w14:val="tx1"/>
            </w14:solidFill>
          </w14:textFill>
        </w:rPr>
        <w:t>]在合同总价款中。</w:t>
      </w:r>
      <w:r>
        <w:rPr>
          <w:rFonts w:hint="eastAsia" w:ascii="宋体"/>
          <w:i/>
          <w:color w:val="000000" w:themeColor="text1"/>
          <w:highlight w:val="none"/>
          <w14:textFill>
            <w14:solidFill>
              <w14:schemeClr w14:val="tx1"/>
            </w14:solidFill>
          </w14:textFill>
        </w:rPr>
        <w:t>[使用说明：带“</w:t>
      </w:r>
      <w:r>
        <w:rPr>
          <w:rFonts w:hint="eastAsia" w:ascii="宋体" w:hAnsi="宋体" w:cs="宋体"/>
          <w:b/>
          <w:bCs/>
          <w:color w:val="000000" w:themeColor="text1"/>
          <w:highlight w:val="none"/>
          <w14:textFill>
            <w14:solidFill>
              <w14:schemeClr w14:val="tx1"/>
            </w14:solidFill>
          </w14:textFill>
        </w:rPr>
        <w:t>□</w:t>
      </w:r>
      <w:r>
        <w:rPr>
          <w:rFonts w:hint="eastAsia" w:ascii="宋体"/>
          <w:i/>
          <w:color w:val="000000" w:themeColor="text1"/>
          <w:highlight w:val="none"/>
          <w14:textFill>
            <w14:solidFill>
              <w14:schemeClr w14:val="tx1"/>
            </w14:solidFill>
          </w14:textFill>
        </w:rPr>
        <w:t>”为选择项，请根据实际情况选择包含或不包含，一般建议将运输费和保险费包含在合同总价款中。]</w:t>
      </w:r>
    </w:p>
    <w:p w14:paraId="50EF9FB1">
      <w:pPr>
        <w:spacing w:line="360" w:lineRule="auto"/>
        <w:ind w:firstLine="420"/>
        <w:rPr>
          <w:rFonts w:ascii="宋体" w:hAnsi="Arial"/>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3.</w:t>
      </w:r>
      <w:r>
        <w:rPr>
          <w:rFonts w:hint="eastAsia" w:ascii="宋体"/>
          <w:color w:val="000000" w:themeColor="text1"/>
          <w:highlight w:val="none"/>
          <w14:textFill>
            <w14:solidFill>
              <w14:schemeClr w14:val="tx1"/>
            </w14:solidFill>
          </w14:textFill>
        </w:rPr>
        <w:t>甲方指定的到货地点：</w:t>
      </w:r>
      <w:r>
        <w:rPr>
          <w:rFonts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u w:val="single"/>
          <w14:textFill>
            <w14:solidFill>
              <w14:schemeClr w14:val="tx1"/>
            </w14:solidFill>
          </w14:textFill>
        </w:rPr>
        <w:t xml:space="preserve">            </w:t>
      </w:r>
      <w:r>
        <w:rPr>
          <w:rFonts w:ascii="宋体"/>
          <w:color w:val="000000" w:themeColor="text1"/>
          <w:highlight w:val="none"/>
          <w:u w:val="single"/>
          <w14:textFill>
            <w14:solidFill>
              <w14:schemeClr w14:val="tx1"/>
            </w14:solidFill>
          </w14:textFill>
        </w:rPr>
        <w:t xml:space="preserve"> </w:t>
      </w:r>
      <w:r>
        <w:rPr>
          <w:rFonts w:hint="eastAsia" w:ascii="宋体" w:hAnsi="Arial"/>
          <w:color w:val="000000" w:themeColor="text1"/>
          <w:highlight w:val="none"/>
          <w14:textFill>
            <w14:solidFill>
              <w14:schemeClr w14:val="tx1"/>
            </w14:solidFill>
          </w14:textFill>
        </w:rPr>
        <w:t>。</w:t>
      </w:r>
    </w:p>
    <w:p w14:paraId="1BE55109">
      <w:pPr>
        <w:spacing w:line="360" w:lineRule="auto"/>
        <w:ind w:firstLine="420"/>
        <w:rPr>
          <w:rFonts w:ascii="宋体" w:hAnsi="Arial"/>
          <w:color w:val="000000" w:themeColor="text1"/>
          <w:highlight w:val="none"/>
          <w14:textFill>
            <w14:solidFill>
              <w14:schemeClr w14:val="tx1"/>
            </w14:solidFill>
          </w14:textFill>
        </w:rPr>
      </w:pPr>
      <w:r>
        <w:rPr>
          <w:rFonts w:hint="eastAsia" w:ascii="宋体" w:hAnsi="Arial"/>
          <w:b/>
          <w:color w:val="000000" w:themeColor="text1"/>
          <w:highlight w:val="none"/>
          <w14:textFill>
            <w14:solidFill>
              <w14:schemeClr w14:val="tx1"/>
            </w14:solidFill>
          </w14:textFill>
        </w:rPr>
        <w:t>4.</w:t>
      </w:r>
      <w:r>
        <w:rPr>
          <w:rFonts w:hint="eastAsia" w:ascii="宋体" w:hAnsi="Arial"/>
          <w:color w:val="000000" w:themeColor="text1"/>
          <w:highlight w:val="none"/>
          <w14:textFill>
            <w14:solidFill>
              <w14:schemeClr w14:val="tx1"/>
            </w14:solidFill>
          </w14:textFill>
        </w:rPr>
        <w:t>直至乙方将本合同项下的货物运至甲方指定的地点并交付甲方指定的收货人手中，货物的毁损、灭失风险完全由乙方承担。</w:t>
      </w:r>
    </w:p>
    <w:p w14:paraId="2BA1781C">
      <w:pPr>
        <w:spacing w:line="360" w:lineRule="auto"/>
        <w:rPr>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【第三条】货物验收</w:t>
      </w:r>
    </w:p>
    <w:p w14:paraId="518DBE2A">
      <w:pPr>
        <w:spacing w:line="360" w:lineRule="auto"/>
        <w:rPr>
          <w:rFonts w:ascii="宋体"/>
          <w:color w:val="000000" w:themeColor="text1"/>
          <w:highlight w:val="none"/>
          <w14:textFill>
            <w14:solidFill>
              <w14:schemeClr w14:val="tx1"/>
            </w14:solidFill>
          </w14:textFill>
        </w:rPr>
      </w:pPr>
      <w:r>
        <w:rPr>
          <w:rFonts w:ascii="Arial" w:hAnsi="Arial"/>
          <w:color w:val="000000" w:themeColor="text1"/>
          <w:highlight w:val="none"/>
          <w14:textFill>
            <w14:solidFill>
              <w14:schemeClr w14:val="tx1"/>
            </w14:solidFill>
          </w14:textFill>
        </w:rPr>
        <w:t xml:space="preserve">    </w:t>
      </w:r>
      <w:r>
        <w:rPr>
          <w:rFonts w:ascii="宋体"/>
          <w:b/>
          <w:color w:val="000000" w:themeColor="text1"/>
          <w:highlight w:val="none"/>
          <w14:textFill>
            <w14:solidFill>
              <w14:schemeClr w14:val="tx1"/>
            </w14:solidFill>
          </w14:textFill>
        </w:rPr>
        <w:t>1.</w:t>
      </w:r>
      <w:r>
        <w:rPr>
          <w:rFonts w:hint="eastAsia" w:ascii="宋体"/>
          <w:color w:val="000000" w:themeColor="text1"/>
          <w:highlight w:val="none"/>
          <w14:textFill>
            <w14:solidFill>
              <w14:schemeClr w14:val="tx1"/>
            </w14:solidFill>
          </w14:textFill>
        </w:rPr>
        <w:t>货物到达甲方指定到货地点后[____]日内，甲、乙双方共同进行验收、测试。</w:t>
      </w:r>
    </w:p>
    <w:p w14:paraId="75527B0E">
      <w:pPr>
        <w:spacing w:line="360" w:lineRule="auto"/>
        <w:ind w:firstLine="420"/>
        <w:rPr>
          <w:rFonts w:ascii="宋体"/>
          <w:color w:val="000000" w:themeColor="text1"/>
          <w:highlight w:val="none"/>
          <w14:textFill>
            <w14:solidFill>
              <w14:schemeClr w14:val="tx1"/>
            </w14:solidFill>
          </w14:textFill>
        </w:rPr>
      </w:pPr>
      <w:r>
        <w:rPr>
          <w:rFonts w:ascii="宋体"/>
          <w:b/>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验收标准</w:t>
      </w: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（1）货物外形、包装完好； （2）型号、规格、数量无误； （3）货物符合国家法律、法规、监管规定要求的质量、技术、安全、有效期、环保等标准，符合本合同各项要求及标准，乙方对该货物有质量说明的，也应符合该质量说明；（4）乙方提供的质量技术材料符合本合同约定；（5）甲方认可货物的安装、测试无问题；（6）其他验收标准：[</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 。</w:t>
      </w:r>
    </w:p>
    <w:p w14:paraId="04713753">
      <w:pPr>
        <w:spacing w:line="360" w:lineRule="auto"/>
        <w:ind w:firstLine="4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hint="eastAsia" w:ascii="宋体"/>
          <w:i/>
          <w:iCs/>
          <w:color w:val="000000" w:themeColor="text1"/>
          <w:highlight w:val="none"/>
          <w14:textFill>
            <w14:solidFill>
              <w14:schemeClr w14:val="tx1"/>
            </w14:solidFill>
          </w14:textFill>
        </w:rPr>
        <w:t>使用说明：请根据项目实际情况补充其他验收标准或按实际需要对验收标准进行调整</w:t>
      </w:r>
      <w:r>
        <w:rPr>
          <w:rFonts w:hint="eastAsia" w:ascii="宋体"/>
          <w:iCs/>
          <w:color w:val="000000" w:themeColor="text1"/>
          <w:highlight w:val="none"/>
          <w14:textFill>
            <w14:solidFill>
              <w14:schemeClr w14:val="tx1"/>
            </w14:solidFill>
          </w14:textFill>
        </w:rPr>
        <w:t>或补充，但</w:t>
      </w:r>
      <w:r>
        <w:rPr>
          <w:rFonts w:hint="eastAsia" w:ascii="宋体"/>
          <w:color w:val="000000" w:themeColor="text1"/>
          <w:highlight w:val="none"/>
          <w14:textFill>
            <w14:solidFill>
              <w14:schemeClr w14:val="tx1"/>
            </w14:solidFill>
          </w14:textFill>
        </w:rPr>
        <w:t>（1）、（2）、（3）、（4）项不允许删除或减少验收项目]</w:t>
      </w:r>
    </w:p>
    <w:p w14:paraId="6F501003">
      <w:pPr>
        <w:spacing w:line="360" w:lineRule="auto"/>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【第四条】</w:t>
      </w:r>
      <w:r>
        <w:rPr>
          <w:rFonts w:hint="eastAsia" w:ascii="Arial" w:hAnsi="Arial"/>
          <w:b/>
          <w:color w:val="000000" w:themeColor="text1"/>
          <w:highlight w:val="none"/>
          <w14:textFill>
            <w14:solidFill>
              <w14:schemeClr w14:val="tx1"/>
            </w14:solidFill>
          </w14:textFill>
        </w:rPr>
        <w:t>货物包装及质量技术材料</w:t>
      </w:r>
    </w:p>
    <w:p w14:paraId="4B5CEB77">
      <w:pPr>
        <w:spacing w:line="360" w:lineRule="auto"/>
        <w:ind w:firstLine="420"/>
        <w:rPr>
          <w:color w:val="000000" w:themeColor="text1"/>
          <w:highlight w:val="none"/>
          <w14:textFill>
            <w14:solidFill>
              <w14:schemeClr w14:val="tx1"/>
            </w14:solidFill>
          </w14:textFill>
        </w:rPr>
      </w:pPr>
      <w:r>
        <w:rPr>
          <w:rFonts w:hint="eastAsia" w:ascii="Arial" w:hAnsi="Arial"/>
          <w:color w:val="000000" w:themeColor="text1"/>
          <w:highlight w:val="none"/>
          <w14:textFill>
            <w14:solidFill>
              <w14:schemeClr w14:val="tx1"/>
            </w14:solidFill>
          </w14:textFill>
        </w:rPr>
        <w:t>乙方向甲方</w:t>
      </w:r>
      <w:r>
        <w:rPr>
          <w:rFonts w:hint="eastAsia"/>
          <w:color w:val="000000" w:themeColor="text1"/>
          <w:highlight w:val="none"/>
          <w14:textFill>
            <w14:solidFill>
              <w14:schemeClr w14:val="tx1"/>
            </w14:solidFill>
          </w14:textFill>
        </w:rPr>
        <w:t>提供的全部货物，均应采用国家或专业标准的保护方式进行包装，应使包装适应于远距离运输、防潮、防震、防锈、防压和防粗暴装卸等各种防止货物受到损害的防护要求，确保货物安全无损运抵甲方指定的到货地点。由于包装不适当所引起的货物锈蚀、损坏和损失均由乙方承担。</w:t>
      </w:r>
    </w:p>
    <w:p w14:paraId="1007A7A2">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每件包装箱内应附详细的质量技术材料，包括：</w:t>
      </w:r>
    </w:p>
    <w:p w14:paraId="068D06B7">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装箱单；</w:t>
      </w:r>
    </w:p>
    <w:p w14:paraId="250F3E40">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货物说明书；</w:t>
      </w:r>
    </w:p>
    <w:p w14:paraId="7244ABF6">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货物合格证；</w:t>
      </w:r>
    </w:p>
    <w:p w14:paraId="4B6255F3">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质量保证书；</w:t>
      </w:r>
    </w:p>
    <w:p w14:paraId="4A0E9F95">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使用说明书</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0A42C671">
      <w:pPr>
        <w:spacing w:line="360" w:lineRule="auto"/>
        <w:ind w:firstLine="420"/>
        <w:rPr>
          <w:rFonts w:ascii="Arial" w:hAnsi="Arial"/>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[_____________________]</w:t>
      </w:r>
      <w:r>
        <w:rPr>
          <w:rFonts w:hint="eastAsia" w:ascii="Arial" w:hAnsi="Arial"/>
          <w:i/>
          <w:color w:val="000000" w:themeColor="text1"/>
          <w:highlight w:val="none"/>
          <w:u w:val="single"/>
          <w14:textFill>
            <w14:solidFill>
              <w14:schemeClr w14:val="tx1"/>
            </w14:solidFill>
          </w14:textFill>
        </w:rPr>
        <w:t xml:space="preserve"> </w:t>
      </w:r>
    </w:p>
    <w:p w14:paraId="48E7464F">
      <w:pPr>
        <w:spacing w:line="360" w:lineRule="auto"/>
        <w:rPr>
          <w:rFonts w:ascii="宋体"/>
          <w:i/>
          <w:color w:val="000000" w:themeColor="text1"/>
          <w:highlight w:val="none"/>
          <w14:textFill>
            <w14:solidFill>
              <w14:schemeClr w14:val="tx1"/>
            </w14:solidFill>
          </w14:textFill>
        </w:rPr>
      </w:pPr>
      <w:r>
        <w:rPr>
          <w:rFonts w:ascii="Arial" w:hAnsi="Arial"/>
          <w:i/>
          <w:color w:val="000000" w:themeColor="text1"/>
          <w:highlight w:val="none"/>
          <w14:textFill>
            <w14:solidFill>
              <w14:schemeClr w14:val="tx1"/>
            </w14:solidFill>
          </w14:textFill>
        </w:rPr>
        <w:t>[</w:t>
      </w:r>
      <w:r>
        <w:rPr>
          <w:rFonts w:hint="eastAsia" w:ascii="Arial" w:hAnsi="Arial"/>
          <w:i/>
          <w:color w:val="000000" w:themeColor="text1"/>
          <w:highlight w:val="none"/>
          <w14:textFill>
            <w14:solidFill>
              <w14:schemeClr w14:val="tx1"/>
            </w14:solidFill>
          </w14:textFill>
        </w:rPr>
        <w:t>使用说明：</w:t>
      </w:r>
      <w:r>
        <w:rPr>
          <w:rFonts w:hint="eastAsia" w:ascii="宋体"/>
          <w:i/>
          <w:color w:val="000000" w:themeColor="text1"/>
          <w:highlight w:val="none"/>
          <w14:textFill>
            <w14:solidFill>
              <w14:schemeClr w14:val="tx1"/>
            </w14:solidFill>
          </w14:textFill>
        </w:rPr>
        <w:t>请根据实际情况选择约定具体的质量技术材料名称，不适用的质量技术材料名称应删除或相应修改，确保符合业务实际。]</w:t>
      </w:r>
    </w:p>
    <w:p w14:paraId="0C3BAD18">
      <w:pPr>
        <w:spacing w:line="360" w:lineRule="auto"/>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【第五条】对货物提出异议的时间和方法</w:t>
      </w:r>
    </w:p>
    <w:p w14:paraId="7E2C867B">
      <w:pPr>
        <w:spacing w:line="360" w:lineRule="auto"/>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 xml:space="preserve">    </w:t>
      </w:r>
      <w:r>
        <w:rPr>
          <w:rFonts w:ascii="宋体"/>
          <w:b/>
          <w:color w:val="000000" w:themeColor="text1"/>
          <w:highlight w:val="none"/>
          <w14:textFill>
            <w14:solidFill>
              <w14:schemeClr w14:val="tx1"/>
            </w14:solidFill>
          </w14:textFill>
        </w:rPr>
        <w:t>1.</w:t>
      </w:r>
      <w:r>
        <w:rPr>
          <w:rFonts w:hint="eastAsia" w:ascii="宋体"/>
          <w:color w:val="000000" w:themeColor="text1"/>
          <w:highlight w:val="none"/>
          <w14:textFill>
            <w14:solidFill>
              <w14:schemeClr w14:val="tx1"/>
            </w14:solidFill>
          </w14:textFill>
        </w:rPr>
        <w:t>双方在进行验收后应签署书面验收报告，在验收中，如果发现货物的品种、型号、规格、数量、质量及所附质量技术材料等与本合同规定不符，甲方有权拒收全部或部分货物，有权拒付全部或部分货款；如不符合合同规定部分的货物达甲方所订购货物的[</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]%，甲方有权解除合同。</w:t>
      </w:r>
    </w:p>
    <w:p w14:paraId="31A8C785">
      <w:pPr>
        <w:spacing w:line="360" w:lineRule="auto"/>
        <w:ind w:firstLine="482" w:firstLineChars="20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如货物存在隐蔽瑕疵或质量问题，甲方在验收后仍有权向乙方提出异议，乙方应按本合同第十二条的规定承担货物不符合合同规定的违约责任。</w:t>
      </w:r>
      <w:r>
        <w:rPr>
          <w:rFonts w:ascii="宋体"/>
          <w:color w:val="000000" w:themeColor="text1"/>
          <w:highlight w:val="none"/>
          <w14:textFill>
            <w14:solidFill>
              <w14:schemeClr w14:val="tx1"/>
            </w14:solidFill>
          </w14:textFill>
        </w:rPr>
        <w:t xml:space="preserve">    </w:t>
      </w:r>
    </w:p>
    <w:p w14:paraId="2DC0E7DA">
      <w:pPr>
        <w:spacing w:line="360" w:lineRule="auto"/>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【第六条】</w:t>
      </w:r>
      <w:r>
        <w:rPr>
          <w:rFonts w:ascii="宋体"/>
          <w:b/>
          <w:color w:val="000000" w:themeColor="text1"/>
          <w:highlight w:val="non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保修期、售后服务及技术支持</w:t>
      </w:r>
    </w:p>
    <w:p w14:paraId="58988B4B">
      <w:pPr>
        <w:spacing w:line="360" w:lineRule="auto"/>
        <w:rPr>
          <w:rFonts w:ascii="Arial" w:hAnsi="Arial"/>
          <w:color w:val="000000" w:themeColor="text1"/>
          <w:highlight w:val="none"/>
          <w14:textFill>
            <w14:solidFill>
              <w14:schemeClr w14:val="tx1"/>
            </w14:solidFill>
          </w14:textFill>
        </w:rPr>
      </w:pPr>
      <w:r>
        <w:rPr>
          <w:rFonts w:ascii="Arial" w:hAnsi="Arial"/>
          <w:color w:val="000000" w:themeColor="text1"/>
          <w:highlight w:val="none"/>
          <w14:textFill>
            <w14:solidFill>
              <w14:schemeClr w14:val="tx1"/>
            </w14:solidFill>
          </w14:textFill>
        </w:rPr>
        <w:t xml:space="preserve"> </w:t>
      </w:r>
      <w:r>
        <w:rPr>
          <w:rFonts w:hint="eastAsia" w:ascii="Arial" w:hAnsi="Arial"/>
          <w:color w:val="000000" w:themeColor="text1"/>
          <w:highlight w:val="none"/>
          <w14:textFill>
            <w14:solidFill>
              <w14:schemeClr w14:val="tx1"/>
            </w14:solidFill>
          </w14:textFill>
        </w:rPr>
        <w:t xml:space="preserve">   </w:t>
      </w:r>
      <w:r>
        <w:rPr>
          <w:rFonts w:hint="eastAsia" w:ascii="宋体" w:hAnsi="Arial"/>
          <w:b/>
          <w:color w:val="000000" w:themeColor="text1"/>
          <w:highlight w:val="none"/>
          <w14:textFill>
            <w14:solidFill>
              <w14:schemeClr w14:val="tx1"/>
            </w14:solidFill>
          </w14:textFill>
        </w:rPr>
        <w:t>1.</w:t>
      </w:r>
      <w:r>
        <w:rPr>
          <w:rFonts w:hint="eastAsia" w:ascii="Arial" w:hAnsi="Arial"/>
          <w:color w:val="000000" w:themeColor="text1"/>
          <w:highlight w:val="none"/>
          <w14:textFill>
            <w14:solidFill>
              <w14:schemeClr w14:val="tx1"/>
            </w14:solidFill>
          </w14:textFill>
        </w:rPr>
        <w:t>乙方向甲方提供保修服务，本合同所购货物保修期为</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____</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年</w:t>
      </w:r>
      <w:r>
        <w:rPr>
          <w:rFonts w:hint="eastAsia" w:ascii="Arial" w:hAnsi="Arial"/>
          <w:color w:val="000000" w:themeColor="text1"/>
          <w:highlight w:val="none"/>
          <w14:textFill>
            <w14:solidFill>
              <w14:schemeClr w14:val="tx1"/>
            </w14:solidFill>
          </w14:textFill>
        </w:rPr>
        <w:t>。保修期自</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___________________</w:t>
      </w:r>
      <w:r>
        <w:rPr>
          <w:rFonts w:ascii="宋体"/>
          <w:color w:val="000000" w:themeColor="text1"/>
          <w:highlight w:val="none"/>
          <w14:textFill>
            <w14:solidFill>
              <w14:schemeClr w14:val="tx1"/>
            </w14:solidFill>
          </w14:textFill>
        </w:rPr>
        <w:t>]</w:t>
      </w:r>
      <w:r>
        <w:rPr>
          <w:rFonts w:hint="eastAsia" w:ascii="Arial" w:hAnsi="Arial"/>
          <w:color w:val="000000" w:themeColor="text1"/>
          <w:highlight w:val="none"/>
          <w14:textFill>
            <w14:solidFill>
              <w14:schemeClr w14:val="tx1"/>
            </w14:solidFill>
          </w14:textFill>
        </w:rPr>
        <w:t>之日起开始计算。</w:t>
      </w:r>
      <w:r>
        <w:rPr>
          <w:rFonts w:hint="eastAsia" w:ascii="Arial" w:hAnsi="Arial"/>
          <w:i/>
          <w:color w:val="000000" w:themeColor="text1"/>
          <w:highlight w:val="none"/>
          <w:u w:val="single"/>
          <w14:textFill>
            <w14:solidFill>
              <w14:schemeClr w14:val="tx1"/>
            </w14:solidFill>
          </w14:textFill>
        </w:rPr>
        <w:t xml:space="preserve"> [使用说明：此处可根据实际验收方式相应填写到货或投产、安装调试、甲方在验收报告上签字等内容，应与实际验收方式表述一致]</w:t>
      </w:r>
      <w:r>
        <w:rPr>
          <w:rFonts w:hint="eastAsia" w:ascii="Arial" w:hAnsi="Arial"/>
          <w:color w:val="000000" w:themeColor="text1"/>
          <w:highlight w:val="none"/>
          <w14:textFill>
            <w14:solidFill>
              <w14:schemeClr w14:val="tx1"/>
            </w14:solidFill>
          </w14:textFill>
        </w:rPr>
        <w:t xml:space="preserve"> </w:t>
      </w:r>
    </w:p>
    <w:p w14:paraId="4C55FA1A">
      <w:pPr>
        <w:spacing w:line="360" w:lineRule="auto"/>
        <w:ind w:firstLine="482" w:firstLineChars="200"/>
        <w:rPr>
          <w:rFonts w:ascii="Arial" w:hAnsi="Arial"/>
          <w:color w:val="000000" w:themeColor="text1"/>
          <w:highlight w:val="none"/>
          <w14:textFill>
            <w14:solidFill>
              <w14:schemeClr w14:val="tx1"/>
            </w14:solidFill>
          </w14:textFill>
        </w:rPr>
      </w:pPr>
      <w:r>
        <w:rPr>
          <w:rFonts w:hint="eastAsia" w:ascii="宋体" w:hAnsi="Arial"/>
          <w:b/>
          <w:color w:val="000000" w:themeColor="text1"/>
          <w:highlight w:val="none"/>
          <w14:textFill>
            <w14:solidFill>
              <w14:schemeClr w14:val="tx1"/>
            </w14:solidFill>
          </w14:textFill>
        </w:rPr>
        <w:t>2</w:t>
      </w:r>
      <w:r>
        <w:rPr>
          <w:rFonts w:ascii="宋体" w:hAnsi="Arial"/>
          <w:b/>
          <w:color w:val="000000" w:themeColor="text1"/>
          <w:highlight w:val="none"/>
          <w14:textFill>
            <w14:solidFill>
              <w14:schemeClr w14:val="tx1"/>
            </w14:solidFill>
          </w14:textFill>
        </w:rPr>
        <w:t>.</w:t>
      </w:r>
      <w:r>
        <w:rPr>
          <w:rFonts w:hint="eastAsia" w:ascii="Arial" w:hAnsi="Arial"/>
          <w:color w:val="000000" w:themeColor="text1"/>
          <w:highlight w:val="none"/>
          <w14:textFill>
            <w14:solidFill>
              <w14:schemeClr w14:val="tx1"/>
            </w14:solidFill>
          </w14:textFill>
        </w:rPr>
        <w:t>乙方负责提供货物的安装、调试和技术支持服务。在保修期内，货物出现故障，乙方负责提供免费保修服务。</w:t>
      </w:r>
    </w:p>
    <w:p w14:paraId="7894139E">
      <w:pPr>
        <w:pStyle w:val="17"/>
        <w:spacing w:line="360" w:lineRule="auto"/>
        <w:ind w:left="0" w:firstLine="411" w:firstLineChars="196"/>
        <w:rPr>
          <w:rFonts w:ascii="宋体" w:hAnsi="宋体"/>
          <w:i/>
          <w:color w:val="000000" w:themeColor="text1"/>
          <w:sz w:val="21"/>
          <w:szCs w:val="21"/>
          <w:highlight w:val="none"/>
          <w14:textFill>
            <w14:solidFill>
              <w14:schemeClr w14:val="tx1"/>
            </w14:solidFill>
          </w14:textFill>
        </w:rPr>
      </w:pPr>
      <w:r>
        <w:rPr>
          <w:rFonts w:hint="eastAsia" w:ascii="Arial" w:hAnsi="Arial"/>
          <w:color w:val="000000" w:themeColor="text1"/>
          <w:sz w:val="21"/>
          <w:highlight w:val="none"/>
          <w14:textFill>
            <w14:solidFill>
              <w14:schemeClr w14:val="tx1"/>
            </w14:solidFill>
          </w14:textFill>
        </w:rPr>
        <w:t>对于在保修期内维修或更换的零部件应重新计算保修期；在保修期外，乙方为甲方提供有偿服务，维修的零部件按成本价计算，支持维护费（按不超过当时乙方的市场维护费的</w:t>
      </w:r>
      <w:r>
        <w:rPr>
          <w:rFonts w:ascii="宋体"/>
          <w:color w:val="000000" w:themeColor="text1"/>
          <w:sz w:val="21"/>
          <w:highlight w:val="none"/>
          <w14:textFill>
            <w14:solidFill>
              <w14:schemeClr w14:val="tx1"/>
            </w14:solidFill>
          </w14:textFill>
        </w:rPr>
        <w:t>[</w:t>
      </w:r>
      <w:r>
        <w:rPr>
          <w:rFonts w:hint="eastAsia" w:ascii="宋体"/>
          <w:color w:val="000000" w:themeColor="text1"/>
          <w:sz w:val="21"/>
          <w:highlight w:val="none"/>
          <w14:textFill>
            <w14:solidFill>
              <w14:schemeClr w14:val="tx1"/>
            </w14:solidFill>
          </w14:textFill>
        </w:rPr>
        <w:t>____</w:t>
      </w:r>
      <w:r>
        <w:rPr>
          <w:rFonts w:ascii="宋体"/>
          <w:color w:val="000000" w:themeColor="text1"/>
          <w:sz w:val="21"/>
          <w:highlight w:val="none"/>
          <w14:textFill>
            <w14:solidFill>
              <w14:schemeClr w14:val="tx1"/>
            </w14:solidFill>
          </w14:textFill>
        </w:rPr>
        <w:t>]</w:t>
      </w:r>
      <w:r>
        <w:rPr>
          <w:rFonts w:hint="eastAsia" w:ascii="Arial" w:hAnsi="Arial"/>
          <w:color w:val="000000" w:themeColor="text1"/>
          <w:sz w:val="21"/>
          <w:highlight w:val="none"/>
          <w14:textFill>
            <w14:solidFill>
              <w14:schemeClr w14:val="tx1"/>
            </w14:solidFill>
          </w14:textFill>
        </w:rPr>
        <w:t>%或按不超过本合同总金额的</w:t>
      </w:r>
      <w:r>
        <w:rPr>
          <w:rFonts w:ascii="宋体"/>
          <w:color w:val="000000" w:themeColor="text1"/>
          <w:sz w:val="21"/>
          <w:highlight w:val="none"/>
          <w14:textFill>
            <w14:solidFill>
              <w14:schemeClr w14:val="tx1"/>
            </w14:solidFill>
          </w14:textFill>
        </w:rPr>
        <w:t>[</w:t>
      </w:r>
      <w:r>
        <w:rPr>
          <w:rFonts w:hint="eastAsia" w:ascii="宋体"/>
          <w:color w:val="000000" w:themeColor="text1"/>
          <w:sz w:val="21"/>
          <w:highlight w:val="none"/>
          <w14:textFill>
            <w14:solidFill>
              <w14:schemeClr w14:val="tx1"/>
            </w14:solidFill>
          </w14:textFill>
        </w:rPr>
        <w:t>____</w:t>
      </w:r>
      <w:r>
        <w:rPr>
          <w:rFonts w:ascii="宋体"/>
          <w:color w:val="000000" w:themeColor="text1"/>
          <w:sz w:val="21"/>
          <w:highlight w:val="none"/>
          <w14:textFill>
            <w14:solidFill>
              <w14:schemeClr w14:val="tx1"/>
            </w14:solidFill>
          </w14:textFill>
        </w:rPr>
        <w:t>]</w:t>
      </w:r>
      <w:r>
        <w:rPr>
          <w:rFonts w:hint="eastAsia" w:ascii="Arial" w:hAnsi="Arial"/>
          <w:color w:val="000000" w:themeColor="text1"/>
          <w:sz w:val="21"/>
          <w:highlight w:val="none"/>
          <w14:textFill>
            <w14:solidFill>
              <w14:schemeClr w14:val="tx1"/>
            </w14:solidFill>
          </w14:textFill>
        </w:rPr>
        <w:t>%）计算，其中不含增值税价________元，增值税金额_________元。如需续保，双方应按此条款另签协议。</w:t>
      </w:r>
      <w:r>
        <w:rPr>
          <w:rFonts w:hint="eastAsia" w:ascii="宋体" w:hAnsi="宋体"/>
          <w:i/>
          <w:color w:val="000000" w:themeColor="text1"/>
          <w:sz w:val="21"/>
          <w:szCs w:val="21"/>
          <w:highlight w:val="none"/>
          <w14:textFill>
            <w14:solidFill>
              <w14:schemeClr w14:val="tx1"/>
            </w14:solidFill>
          </w14:textFill>
        </w:rPr>
        <w:t>[使用说明：请根据实际情况选择是否规定维修或更换的零部件重新计算保修期；选择是否约定保修期外支持维护费标准等相关事项，如不适用可删除]</w:t>
      </w:r>
    </w:p>
    <w:p w14:paraId="124E86A7">
      <w:pPr>
        <w:pStyle w:val="17"/>
        <w:spacing w:line="360" w:lineRule="auto"/>
        <w:ind w:left="0" w:firstLine="411" w:firstLineChars="196"/>
        <w:rPr>
          <w:rFonts w:ascii="Arial" w:hAnsi="Arial"/>
          <w:color w:val="000000" w:themeColor="text1"/>
          <w:sz w:val="21"/>
          <w:highlight w:val="none"/>
          <w14:textFill>
            <w14:solidFill>
              <w14:schemeClr w14:val="tx1"/>
            </w14:solidFill>
          </w14:textFill>
        </w:rPr>
      </w:pPr>
      <w:r>
        <w:rPr>
          <w:rFonts w:hint="eastAsia" w:ascii="Arial" w:hAnsi="Arial"/>
          <w:color w:val="000000" w:themeColor="text1"/>
          <w:sz w:val="21"/>
          <w:highlight w:val="none"/>
          <w14:textFill>
            <w14:solidFill>
              <w14:schemeClr w14:val="tx1"/>
            </w14:solidFill>
          </w14:textFill>
        </w:rPr>
        <w:t>但无论是否在保修期内，乙方均保证在接到甲方通知之时起</w:t>
      </w:r>
      <w:r>
        <w:rPr>
          <w:rFonts w:ascii="宋体"/>
          <w:color w:val="000000" w:themeColor="text1"/>
          <w:sz w:val="21"/>
          <w:highlight w:val="none"/>
          <w14:textFill>
            <w14:solidFill>
              <w14:schemeClr w14:val="tx1"/>
            </w14:solidFill>
          </w14:textFill>
        </w:rPr>
        <w:t>[</w:t>
      </w:r>
      <w:r>
        <w:rPr>
          <w:rFonts w:hint="eastAsia" w:ascii="宋体"/>
          <w:color w:val="000000" w:themeColor="text1"/>
          <w:sz w:val="21"/>
          <w:highlight w:val="none"/>
          <w14:textFill>
            <w14:solidFill>
              <w14:schemeClr w14:val="tx1"/>
            </w14:solidFill>
          </w14:textFill>
        </w:rPr>
        <w:t>____</w:t>
      </w:r>
      <w:r>
        <w:rPr>
          <w:rFonts w:ascii="宋体"/>
          <w:color w:val="000000" w:themeColor="text1"/>
          <w:sz w:val="21"/>
          <w:highlight w:val="none"/>
          <w14:textFill>
            <w14:solidFill>
              <w14:schemeClr w14:val="tx1"/>
            </w14:solidFill>
          </w14:textFill>
        </w:rPr>
        <w:t>]</w:t>
      </w:r>
      <w:r>
        <w:rPr>
          <w:rFonts w:hint="eastAsia" w:ascii="Arial" w:hAnsi="Arial"/>
          <w:color w:val="000000" w:themeColor="text1"/>
          <w:sz w:val="21"/>
          <w:highlight w:val="none"/>
          <w14:textFill>
            <w14:solidFill>
              <w14:schemeClr w14:val="tx1"/>
            </w14:solidFill>
          </w14:textFill>
        </w:rPr>
        <w:t>小时内响应，并在接到甲方通知之时起</w:t>
      </w:r>
      <w:r>
        <w:rPr>
          <w:rFonts w:ascii="宋体"/>
          <w:color w:val="000000" w:themeColor="text1"/>
          <w:sz w:val="21"/>
          <w:highlight w:val="none"/>
          <w14:textFill>
            <w14:solidFill>
              <w14:schemeClr w14:val="tx1"/>
            </w14:solidFill>
          </w14:textFill>
        </w:rPr>
        <w:t>[</w:t>
      </w:r>
      <w:r>
        <w:rPr>
          <w:rFonts w:hint="eastAsia" w:ascii="宋体"/>
          <w:color w:val="000000" w:themeColor="text1"/>
          <w:sz w:val="21"/>
          <w:highlight w:val="none"/>
          <w14:textFill>
            <w14:solidFill>
              <w14:schemeClr w14:val="tx1"/>
            </w14:solidFill>
          </w14:textFill>
        </w:rPr>
        <w:t>____</w:t>
      </w:r>
      <w:r>
        <w:rPr>
          <w:rFonts w:ascii="宋体"/>
          <w:color w:val="000000" w:themeColor="text1"/>
          <w:sz w:val="21"/>
          <w:highlight w:val="none"/>
          <w14:textFill>
            <w14:solidFill>
              <w14:schemeClr w14:val="tx1"/>
            </w14:solidFill>
          </w14:textFill>
        </w:rPr>
        <w:t>]</w:t>
      </w:r>
      <w:r>
        <w:rPr>
          <w:rFonts w:hint="eastAsia" w:ascii="Arial" w:hAnsi="Arial"/>
          <w:color w:val="000000" w:themeColor="text1"/>
          <w:sz w:val="21"/>
          <w:highlight w:val="none"/>
          <w14:textFill>
            <w14:solidFill>
              <w14:schemeClr w14:val="tx1"/>
            </w14:solidFill>
          </w14:textFill>
        </w:rPr>
        <w:t>小时内解决问题，确保货物的正常使用，具体保修要求如下：</w:t>
      </w:r>
      <w:r>
        <w:rPr>
          <w:rFonts w:ascii="宋体"/>
          <w:color w:val="000000" w:themeColor="text1"/>
          <w:sz w:val="21"/>
          <w:highlight w:val="none"/>
          <w14:textFill>
            <w14:solidFill>
              <w14:schemeClr w14:val="tx1"/>
            </w14:solidFill>
          </w14:textFill>
        </w:rPr>
        <w:t>[</w:t>
      </w:r>
      <w:r>
        <w:rPr>
          <w:rFonts w:hint="eastAsia" w:ascii="宋体"/>
          <w:color w:val="000000" w:themeColor="text1"/>
          <w:sz w:val="21"/>
          <w:highlight w:val="none"/>
          <w:u w:val="single"/>
          <w14:textFill>
            <w14:solidFill>
              <w14:schemeClr w14:val="tx1"/>
            </w14:solidFill>
          </w14:textFill>
        </w:rPr>
        <w:t xml:space="preserve">                       </w:t>
      </w:r>
      <w:r>
        <w:rPr>
          <w:rFonts w:ascii="宋体"/>
          <w:color w:val="000000" w:themeColor="text1"/>
          <w:sz w:val="21"/>
          <w:highlight w:val="none"/>
          <w14:textFill>
            <w14:solidFill>
              <w14:schemeClr w14:val="tx1"/>
            </w14:solidFill>
          </w14:textFill>
        </w:rPr>
        <w:t>]</w:t>
      </w:r>
      <w:r>
        <w:rPr>
          <w:rFonts w:hint="eastAsia" w:ascii="Arial" w:hAnsi="Arial"/>
          <w:color w:val="000000" w:themeColor="text1"/>
          <w:sz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i/>
          <w:color w:val="000000" w:themeColor="text1"/>
          <w:sz w:val="21"/>
          <w:szCs w:val="21"/>
          <w:highlight w:val="none"/>
          <w14:textFill>
            <w14:solidFill>
              <w14:schemeClr w14:val="tx1"/>
            </w14:solidFill>
          </w14:textFill>
        </w:rPr>
        <w:t>使用说明：需据实填写，如针对不同等级的问题约定了不同的响应、解决时间或其他维保要求，可在该条款中或在合同附件（二）中详细列明</w:t>
      </w:r>
      <w:r>
        <w:rPr>
          <w:rFonts w:hint="eastAsia" w:ascii="宋体" w:hAnsi="宋体"/>
          <w:color w:val="000000" w:themeColor="text1"/>
          <w:sz w:val="21"/>
          <w:szCs w:val="21"/>
          <w:highlight w:val="none"/>
          <w14:textFill>
            <w14:solidFill>
              <w14:schemeClr w14:val="tx1"/>
            </w14:solidFill>
          </w14:textFill>
        </w:rPr>
        <w:t>]</w:t>
      </w:r>
      <w:r>
        <w:rPr>
          <w:rFonts w:hint="eastAsia" w:ascii="Arial" w:hAnsi="Arial"/>
          <w:color w:val="000000" w:themeColor="text1"/>
          <w:sz w:val="21"/>
          <w:highlight w:val="none"/>
          <w14:textFill>
            <w14:solidFill>
              <w14:schemeClr w14:val="tx1"/>
            </w14:solidFill>
          </w14:textFill>
        </w:rPr>
        <w:t>。</w:t>
      </w:r>
    </w:p>
    <w:p w14:paraId="1FC28B1F">
      <w:pPr>
        <w:spacing w:line="360" w:lineRule="auto"/>
        <w:ind w:firstLine="420"/>
        <w:rPr>
          <w:rFonts w:ascii="Arial" w:hAnsi="Arial"/>
          <w:color w:val="000000" w:themeColor="text1"/>
          <w:highlight w:val="none"/>
          <w14:textFill>
            <w14:solidFill>
              <w14:schemeClr w14:val="tx1"/>
            </w14:solidFill>
          </w14:textFill>
        </w:rPr>
      </w:pPr>
      <w:r>
        <w:rPr>
          <w:rFonts w:hint="eastAsia" w:ascii="宋体" w:hAnsi="Arial"/>
          <w:b/>
          <w:color w:val="000000" w:themeColor="text1"/>
          <w:highlight w:val="none"/>
          <w14:textFill>
            <w14:solidFill>
              <w14:schemeClr w14:val="tx1"/>
            </w14:solidFill>
          </w14:textFill>
        </w:rPr>
        <w:t>3.</w:t>
      </w:r>
      <w:r>
        <w:rPr>
          <w:rFonts w:hint="eastAsia" w:ascii="Arial" w:hAnsi="Arial"/>
          <w:color w:val="000000" w:themeColor="text1"/>
          <w:highlight w:val="none"/>
          <w14:textFill>
            <w14:solidFill>
              <w14:schemeClr w14:val="tx1"/>
            </w14:solidFill>
          </w14:textFill>
        </w:rPr>
        <w:t>乙方承诺至少</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____</w:t>
      </w:r>
      <w:r>
        <w:rPr>
          <w:rFonts w:ascii="宋体"/>
          <w:color w:val="000000" w:themeColor="text1"/>
          <w:highlight w:val="none"/>
          <w14:textFill>
            <w14:solidFill>
              <w14:schemeClr w14:val="tx1"/>
            </w14:solidFill>
          </w14:textFill>
        </w:rPr>
        <w:t>]</w:t>
      </w:r>
      <w:r>
        <w:rPr>
          <w:rFonts w:hint="eastAsia" w:ascii="Arial" w:hAnsi="Arial"/>
          <w:color w:val="000000" w:themeColor="text1"/>
          <w:highlight w:val="none"/>
          <w14:textFill>
            <w14:solidFill>
              <w14:schemeClr w14:val="tx1"/>
            </w14:solidFill>
          </w14:textFill>
        </w:rPr>
        <w:t>年以上保证提供货物的零配件供应，避免因相关零配件停产造成货物无法正常维护的情形发生。</w:t>
      </w:r>
    </w:p>
    <w:p w14:paraId="7CB7A289">
      <w:pPr>
        <w:spacing w:line="360" w:lineRule="auto"/>
        <w:ind w:firstLine="420"/>
        <w:rPr>
          <w:rFonts w:ascii="Arial" w:hAnsi="Arial"/>
          <w:color w:val="000000" w:themeColor="text1"/>
          <w:highlight w:val="none"/>
          <w14:textFill>
            <w14:solidFill>
              <w14:schemeClr w14:val="tx1"/>
            </w14:solidFill>
          </w14:textFill>
        </w:rPr>
      </w:pPr>
      <w:r>
        <w:rPr>
          <w:rFonts w:hint="eastAsia" w:ascii="宋体" w:hAnsi="Arial"/>
          <w:b/>
          <w:color w:val="000000" w:themeColor="text1"/>
          <w:highlight w:val="none"/>
          <w14:textFill>
            <w14:solidFill>
              <w14:schemeClr w14:val="tx1"/>
            </w14:solidFill>
          </w14:textFill>
        </w:rPr>
        <w:t>4.</w:t>
      </w:r>
      <w:r>
        <w:rPr>
          <w:rFonts w:hint="eastAsia" w:ascii="Arial" w:hAnsi="Arial"/>
          <w:color w:val="000000" w:themeColor="text1"/>
          <w:highlight w:val="none"/>
          <w14:textFill>
            <w14:solidFill>
              <w14:schemeClr w14:val="tx1"/>
            </w14:solidFill>
          </w14:textFill>
        </w:rPr>
        <w:t>如乙方需要维修或更换含有甲方数据信息的设备时（如存有数据的硬盘或其它带有数据存储功能的配件），被更换的含有甲方数据信息的设备归甲方所有。</w:t>
      </w:r>
    </w:p>
    <w:p w14:paraId="1A62D44F">
      <w:pPr>
        <w:spacing w:line="360" w:lineRule="auto"/>
        <w:ind w:firstLine="420"/>
        <w:rPr>
          <w:rFonts w:ascii="Arial" w:hAnsi="Arial"/>
          <w:color w:val="000000" w:themeColor="text1"/>
          <w:highlight w:val="none"/>
          <w14:textFill>
            <w14:solidFill>
              <w14:schemeClr w14:val="tx1"/>
            </w14:solidFill>
          </w14:textFill>
        </w:rPr>
      </w:pPr>
      <w:r>
        <w:rPr>
          <w:rFonts w:hint="eastAsia" w:ascii="宋体" w:hAnsi="Arial"/>
          <w:b/>
          <w:color w:val="000000" w:themeColor="text1"/>
          <w:highlight w:val="none"/>
          <w14:textFill>
            <w14:solidFill>
              <w14:schemeClr w14:val="tx1"/>
            </w14:solidFill>
          </w14:textFill>
        </w:rPr>
        <w:t>5.</w:t>
      </w:r>
      <w:r>
        <w:rPr>
          <w:rFonts w:hint="eastAsia" w:ascii="Arial" w:hAnsi="Arial"/>
          <w:color w:val="000000" w:themeColor="text1"/>
          <w:highlight w:val="none"/>
          <w14:textFill>
            <w14:solidFill>
              <w14:schemeClr w14:val="tx1"/>
            </w14:solidFill>
          </w14:textFill>
        </w:rPr>
        <w:t>乙方提供的详细技术支持和服务措施等方案</w:t>
      </w:r>
      <w:r>
        <w:rPr>
          <w:rFonts w:ascii="Arial" w:hAnsi="Arial"/>
          <w:color w:val="000000" w:themeColor="text1"/>
          <w:highlight w:val="none"/>
          <w14:textFill>
            <w14:solidFill>
              <w14:schemeClr w14:val="tx1"/>
            </w14:solidFill>
          </w14:textFill>
        </w:rPr>
        <w:t xml:space="preserve">, </w:t>
      </w:r>
      <w:r>
        <w:rPr>
          <w:rFonts w:hint="eastAsia" w:ascii="Arial" w:hAnsi="Arial"/>
          <w:color w:val="000000" w:themeColor="text1"/>
          <w:highlight w:val="none"/>
          <w14:textFill>
            <w14:solidFill>
              <w14:schemeClr w14:val="tx1"/>
            </w14:solidFill>
          </w14:textFill>
        </w:rPr>
        <w:t>见本合同附件（二）。</w:t>
      </w:r>
    </w:p>
    <w:p w14:paraId="71A7EB6B">
      <w:pPr>
        <w:spacing w:line="360" w:lineRule="auto"/>
        <w:ind w:firstLine="435"/>
        <w:rPr>
          <w:rFonts w:ascii="宋体"/>
          <w:color w:val="000000" w:themeColor="text1"/>
          <w:highlight w:val="none"/>
          <w14:textFill>
            <w14:solidFill>
              <w14:schemeClr w14:val="tx1"/>
            </w14:solidFill>
          </w14:textFill>
        </w:rPr>
      </w:pPr>
      <w:r>
        <w:rPr>
          <w:rFonts w:hint="eastAsia" w:ascii="宋体" w:hAnsi="Arial"/>
          <w:b/>
          <w:color w:val="000000" w:themeColor="text1"/>
          <w:highlight w:val="none"/>
          <w14:textFill>
            <w14:solidFill>
              <w14:schemeClr w14:val="tx1"/>
            </w14:solidFill>
          </w14:textFill>
        </w:rPr>
        <w:t>6.</w:t>
      </w:r>
      <w:r>
        <w:rPr>
          <w:rFonts w:hint="eastAsia" w:ascii="Arial" w:hAnsi="Arial"/>
          <w:color w:val="000000" w:themeColor="text1"/>
          <w:highlight w:val="none"/>
          <w14:textFill>
            <w14:solidFill>
              <w14:schemeClr w14:val="tx1"/>
            </w14:solidFill>
          </w14:textFill>
        </w:rPr>
        <w:t>合同中包括的技术培训详细要求，见本合同附件（三）。</w:t>
      </w:r>
    </w:p>
    <w:p w14:paraId="7E892CD6">
      <w:pPr>
        <w:pStyle w:val="66"/>
        <w:numPr>
          <w:ilvl w:val="0"/>
          <w:numId w:val="49"/>
        </w:numPr>
        <w:spacing w:line="360" w:lineRule="auto"/>
        <w:ind w:firstLineChars="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付款方式</w:t>
      </w:r>
    </w:p>
    <w:p w14:paraId="2C54002F">
      <w:pPr>
        <w:pStyle w:val="66"/>
        <w:spacing w:line="360" w:lineRule="auto"/>
        <w:ind w:firstLine="484" w:firstLineChars="201"/>
        <w:rPr>
          <w:rFonts w:ascii="宋体"/>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r>
        <w:rPr>
          <w:rFonts w:hint="eastAsia" w:ascii="宋体"/>
          <w:b/>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甲方在全部货物到货并验收合格且收到乙方提供其开具的合法有效的税率为   %(为乙方适用的增值税税率)（或由税务机关代为开具的合法有效的税率为3%）的增值税专用发票的前提下，[</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]个工作日内将合同总价款[</w:t>
      </w:r>
      <w:r>
        <w:rPr>
          <w:rFonts w:hint="eastAsia" w:ascii="宋体"/>
          <w:i/>
          <w:color w:val="000000" w:themeColor="text1"/>
          <w:highlight w:val="none"/>
          <w:u w:val="single"/>
          <w14:textFill>
            <w14:solidFill>
              <w14:schemeClr w14:val="tx1"/>
            </w14:solidFill>
          </w14:textFill>
        </w:rPr>
        <w:t>请填写人民币大写金额</w:t>
      </w:r>
      <w:r>
        <w:rPr>
          <w:rFonts w:hint="eastAsia" w:ascii="宋体"/>
          <w:color w:val="000000" w:themeColor="text1"/>
          <w:highlight w:val="none"/>
          <w14:textFill>
            <w14:solidFill>
              <w14:schemeClr w14:val="tx1"/>
            </w14:solidFill>
          </w14:textFill>
        </w:rPr>
        <w:t>]</w:t>
      </w:r>
      <w:r>
        <w:rPr>
          <w:rFonts w:ascii="宋体"/>
          <w:b/>
          <w:color w:val="000000" w:themeColor="text1"/>
          <w:highlight w:val="none"/>
          <w14:textFill>
            <w14:solidFill>
              <w14:schemeClr w14:val="tx1"/>
            </w14:solidFill>
          </w14:textFill>
        </w:rPr>
        <w:t>RMB</w:t>
      </w:r>
      <w:r>
        <w:rPr>
          <w:rFonts w:hint="eastAsia" w:ascii="宋体"/>
          <w:b/>
          <w:color w:val="000000" w:themeColor="text1"/>
          <w:highlight w:val="none"/>
          <w14:textFill>
            <w14:solidFill>
              <w14:schemeClr w14:val="tx1"/>
            </w14:solidFill>
          </w14:textFill>
        </w:rPr>
        <w:t>[</w:t>
      </w:r>
      <w:r>
        <w:rPr>
          <w:rFonts w:hint="eastAsia" w:ascii="宋体"/>
          <w:i/>
          <w:color w:val="000000" w:themeColor="text1"/>
          <w:highlight w:val="none"/>
          <w:u w:val="single"/>
          <w14:textFill>
            <w14:solidFill>
              <w14:schemeClr w14:val="tx1"/>
            </w14:solidFill>
          </w14:textFill>
        </w:rPr>
        <w:t>请填写人民币小写金额</w:t>
      </w:r>
      <w:r>
        <w:rPr>
          <w:rFonts w:hint="eastAsia" w:ascii="宋体"/>
          <w:b/>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，其中不含增值税价________元，增值税金额_________元；以</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_______________</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 xml:space="preserve"> [</w:t>
      </w:r>
      <w:r>
        <w:rPr>
          <w:rFonts w:hint="eastAsia" w:ascii="宋体"/>
          <w:i/>
          <w:color w:val="000000" w:themeColor="text1"/>
          <w:highlight w:val="none"/>
          <w14:textFill>
            <w14:solidFill>
              <w14:schemeClr w14:val="tx1"/>
            </w14:solidFill>
          </w14:textFill>
        </w:rPr>
        <w:t>使用说明：请填写具体的支付方式：如汇款/支票等，下同</w:t>
      </w:r>
      <w:r>
        <w:rPr>
          <w:rFonts w:hint="eastAsia" w:ascii="宋体"/>
          <w:color w:val="000000" w:themeColor="text1"/>
          <w:highlight w:val="none"/>
          <w14:textFill>
            <w14:solidFill>
              <w14:schemeClr w14:val="tx1"/>
            </w14:solidFill>
          </w14:textFill>
        </w:rPr>
        <w:t>]方式支付给乙方。</w:t>
      </w:r>
    </w:p>
    <w:p w14:paraId="3F80270E">
      <w:pPr>
        <w:pStyle w:val="66"/>
        <w:spacing w:line="360" w:lineRule="auto"/>
        <w:ind w:firstLine="482" w:firstLineChars="201"/>
        <w:rPr>
          <w:rFonts w:ascii="宋体"/>
          <w:color w:val="000000" w:themeColor="text1"/>
          <w:highlight w:val="none"/>
          <w14:textFill>
            <w14:solidFill>
              <w14:schemeClr w14:val="tx1"/>
            </w14:solidFill>
          </w14:textFill>
        </w:rPr>
      </w:pPr>
    </w:p>
    <w:p w14:paraId="52215EA5">
      <w:pPr>
        <w:pStyle w:val="66"/>
        <w:numPr>
          <w:ilvl w:val="0"/>
          <w:numId w:val="50"/>
        </w:numPr>
        <w:spacing w:line="490" w:lineRule="exact"/>
        <w:ind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本合同生效后， 甲方收到乙方提交的付款通知以及其开具的合法有效的税率为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%(为乙方适用的增值税税率)（或由税务机关代为开具的合法有效的税率为3%，适用于小规模纳税人）的增值税专用发票后[</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个工作日内</w:t>
      </w:r>
      <w:r>
        <w:rPr>
          <w:rFonts w:hint="eastAsia" w:ascii="宋体"/>
          <w:color w:val="000000" w:themeColor="text1"/>
          <w:highlight w:val="none"/>
          <w14:textFill>
            <w14:solidFill>
              <w14:schemeClr w14:val="tx1"/>
            </w14:solidFill>
          </w14:textFill>
        </w:rPr>
        <w:t>以</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_______________</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方式</w:t>
      </w:r>
      <w:r>
        <w:rPr>
          <w:rFonts w:hint="eastAsia" w:ascii="宋体" w:hAnsi="宋体"/>
          <w:color w:val="000000" w:themeColor="text1"/>
          <w:szCs w:val="21"/>
          <w:highlight w:val="none"/>
          <w14:textFill>
            <w14:solidFill>
              <w14:schemeClr w14:val="tx1"/>
            </w14:solidFill>
          </w14:textFill>
        </w:rPr>
        <w:t>支付合同总价款的[</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即人民币</w:t>
      </w:r>
      <w:r>
        <w:rPr>
          <w:rFonts w:hint="eastAsia" w:ascii="宋体"/>
          <w:color w:val="000000" w:themeColor="text1"/>
          <w:highlight w:val="none"/>
          <w14:textFill>
            <w14:solidFill>
              <w14:schemeClr w14:val="tx1"/>
            </w14:solidFill>
          </w14:textFill>
        </w:rPr>
        <w:t>[</w:t>
      </w:r>
      <w:r>
        <w:rPr>
          <w:rFonts w:hint="eastAsia" w:ascii="宋体"/>
          <w:i/>
          <w:color w:val="000000" w:themeColor="text1"/>
          <w:highlight w:val="none"/>
          <w:u w:val="single"/>
          <w14:textFill>
            <w14:solidFill>
              <w14:schemeClr w14:val="tx1"/>
            </w14:solidFill>
          </w14:textFill>
        </w:rPr>
        <w:t>请填写人民币大写金额</w:t>
      </w:r>
      <w:r>
        <w:rPr>
          <w:rFonts w:hint="eastAsia" w:ascii="宋体"/>
          <w:color w:val="000000" w:themeColor="text1"/>
          <w:highlight w:val="none"/>
          <w14:textFill>
            <w14:solidFill>
              <w14:schemeClr w14:val="tx1"/>
            </w14:solidFill>
          </w14:textFill>
        </w:rPr>
        <w:t>]</w:t>
      </w:r>
      <w:r>
        <w:rPr>
          <w:rFonts w:ascii="宋体"/>
          <w:b/>
          <w:color w:val="000000" w:themeColor="text1"/>
          <w:highlight w:val="none"/>
          <w14:textFill>
            <w14:solidFill>
              <w14:schemeClr w14:val="tx1"/>
            </w14:solidFill>
          </w14:textFill>
        </w:rPr>
        <w:t>RMB</w:t>
      </w:r>
      <w:r>
        <w:rPr>
          <w:rFonts w:hint="eastAsia" w:ascii="宋体"/>
          <w:b/>
          <w:color w:val="000000" w:themeColor="text1"/>
          <w:highlight w:val="none"/>
          <w14:textFill>
            <w14:solidFill>
              <w14:schemeClr w14:val="tx1"/>
            </w14:solidFill>
          </w14:textFill>
        </w:rPr>
        <w:t>[</w:t>
      </w:r>
      <w:r>
        <w:rPr>
          <w:rFonts w:hint="eastAsia" w:ascii="宋体"/>
          <w:i/>
          <w:color w:val="000000" w:themeColor="text1"/>
          <w:highlight w:val="none"/>
          <w:u w:val="single"/>
          <w14:textFill>
            <w14:solidFill>
              <w14:schemeClr w14:val="tx1"/>
            </w14:solidFill>
          </w14:textFill>
        </w:rPr>
        <w:t>请填写人民币小写金额</w:t>
      </w:r>
      <w:r>
        <w:rPr>
          <w:rFonts w:hint="eastAsia" w:ascii="宋体"/>
          <w:b/>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，其中不含增值税价________元，增值税金额_________元</w:t>
      </w:r>
    </w:p>
    <w:p w14:paraId="144BF592">
      <w:pPr>
        <w:spacing w:line="360" w:lineRule="auto"/>
        <w:ind w:firstLine="48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剩余</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]%的款项分[</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]次支付，</w:t>
      </w:r>
      <w:r>
        <w:rPr>
          <w:rFonts w:hint="eastAsia" w:ascii="宋体" w:hAnsi="宋体"/>
          <w:color w:val="000000" w:themeColor="text1"/>
          <w:szCs w:val="21"/>
          <w:highlight w:val="none"/>
          <w14:textFill>
            <w14:solidFill>
              <w14:schemeClr w14:val="tx1"/>
            </w14:solidFill>
          </w14:textFill>
        </w:rPr>
        <w:t>具体支付时间、金额、条件为：</w:t>
      </w:r>
    </w:p>
    <w:p w14:paraId="1AC11AD9">
      <w:pPr>
        <w:spacing w:line="360" w:lineRule="auto"/>
        <w:ind w:firstLine="48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第一次支付：</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 xml:space="preserve"> ，其中不含增值税价________元，增值税金额_________元</w:t>
      </w:r>
      <w:r>
        <w:rPr>
          <w:rFonts w:hint="eastAsia" w:ascii="宋体" w:hAnsi="宋体"/>
          <w:color w:val="000000" w:themeColor="text1"/>
          <w:szCs w:val="21"/>
          <w:highlight w:val="none"/>
          <w14:textFill>
            <w14:solidFill>
              <w14:schemeClr w14:val="tx1"/>
            </w14:solidFill>
          </w14:textFill>
        </w:rPr>
        <w:t>；</w:t>
      </w:r>
    </w:p>
    <w:p w14:paraId="093CC5C0">
      <w:pPr>
        <w:spacing w:line="360" w:lineRule="auto"/>
        <w:ind w:firstLine="48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第二次支付：</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 xml:space="preserve"> ，其中不含增值税价________元，增值税金额_________元</w:t>
      </w:r>
      <w:r>
        <w:rPr>
          <w:rFonts w:ascii="宋体" w:hAnsi="宋体"/>
          <w:color w:val="000000" w:themeColor="text1"/>
          <w:szCs w:val="21"/>
          <w:highlight w:val="none"/>
          <w14:textFill>
            <w14:solidFill>
              <w14:schemeClr w14:val="tx1"/>
            </w14:solidFill>
          </w14:textFill>
        </w:rPr>
        <w:t>；</w:t>
      </w:r>
    </w:p>
    <w:p w14:paraId="4046CDEB">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2"/>
          <w:szCs w:val="21"/>
          <w:highlight w:val="none"/>
          <w14:textFill>
            <w14:solidFill>
              <w14:schemeClr w14:val="tx1"/>
            </w14:solidFill>
          </w14:textFill>
        </w:rPr>
        <w:t>第……次支付：</w:t>
      </w:r>
      <w:r>
        <w:rPr>
          <w:rFonts w:hint="eastAsia" w:ascii="宋体"/>
          <w:color w:val="000000" w:themeColor="text1"/>
          <w:highlight w:val="none"/>
          <w14:textFill>
            <w14:solidFill>
              <w14:schemeClr w14:val="tx1"/>
            </w14:solidFill>
          </w14:textFill>
        </w:rPr>
        <w:t>合同总价款的</w:t>
      </w:r>
      <w:r>
        <w:rPr>
          <w:rFonts w:ascii="宋体"/>
          <w:color w:val="000000" w:themeColor="text1"/>
          <w:highlight w:val="none"/>
          <w14:textFill>
            <w14:solidFill>
              <w14:schemeClr w14:val="tx1"/>
            </w14:solidFill>
          </w14:textFill>
        </w:rPr>
        <w:t xml:space="preserve">[  ]% </w:t>
      </w: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即</w:t>
      </w:r>
      <w:r>
        <w:rPr>
          <w:rFonts w:hint="eastAsia" w:ascii="宋体"/>
          <w:color w:val="000000" w:themeColor="text1"/>
          <w:highlight w:val="none"/>
          <w14:textFill>
            <w14:solidFill>
              <w14:schemeClr w14:val="tx1"/>
            </w14:solidFill>
          </w14:textFill>
        </w:rPr>
        <w:t>人民币[</w:t>
      </w:r>
      <w:r>
        <w:rPr>
          <w:rFonts w:hint="eastAsia" w:ascii="宋体"/>
          <w:i/>
          <w:color w:val="000000" w:themeColor="text1"/>
          <w:highlight w:val="none"/>
          <w14:textFill>
            <w14:solidFill>
              <w14:schemeClr w14:val="tx1"/>
            </w14:solidFill>
          </w14:textFill>
        </w:rPr>
        <w:t>请填写人民币大写金额</w:t>
      </w: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RMB</w:t>
      </w:r>
      <w:r>
        <w:rPr>
          <w:rFonts w:hint="eastAsia" w:ascii="宋体"/>
          <w:color w:val="000000" w:themeColor="text1"/>
          <w:highlight w:val="none"/>
          <w14:textFill>
            <w14:solidFill>
              <w14:schemeClr w14:val="tx1"/>
            </w14:solidFill>
          </w14:textFill>
        </w:rPr>
        <w:t>[</w:t>
      </w:r>
      <w:r>
        <w:rPr>
          <w:rFonts w:hint="eastAsia" w:ascii="宋体"/>
          <w:i/>
          <w:color w:val="000000" w:themeColor="text1"/>
          <w:highlight w:val="none"/>
          <w14:textFill>
            <w14:solidFill>
              <w14:schemeClr w14:val="tx1"/>
            </w14:solidFill>
          </w14:textFill>
        </w:rPr>
        <w:t>请填写人民币小写金额</w:t>
      </w:r>
      <w:r>
        <w:rPr>
          <w:rFonts w:hint="eastAsia" w:ascii="宋体"/>
          <w:color w:val="000000" w:themeColor="text1"/>
          <w:highlight w:val="none"/>
          <w14:textFill>
            <w14:solidFill>
              <w14:schemeClr w14:val="tx1"/>
            </w14:solidFill>
          </w14:textFill>
        </w:rPr>
        <w:t>]，其中不含增值税价________元，增值税金额_________元；待本合同约定的质保期或保修期届满后，且在质保期内货物未出现质量问题或乙方按本合同约定履行了保修义务， 甲方收到乙方提交的付款通知以及其开具的合法有效的增值税专用发票后[</w:t>
      </w:r>
      <w:r>
        <w:rPr>
          <w:rFonts w:ascii="宋体"/>
          <w:color w:val="000000" w:themeColor="text1"/>
          <w:highlight w:val="none"/>
          <w14:textFill>
            <w14:solidFill>
              <w14:schemeClr w14:val="tx1"/>
            </w14:solidFill>
          </w14:textFill>
        </w:rPr>
        <w:t xml:space="preserve"> [    ]</w:t>
      </w:r>
      <w:r>
        <w:rPr>
          <w:rFonts w:hint="eastAsia" w:ascii="宋体"/>
          <w:color w:val="000000" w:themeColor="text1"/>
          <w:highlight w:val="none"/>
          <w14:textFill>
            <w14:solidFill>
              <w14:schemeClr w14:val="tx1"/>
            </w14:solidFill>
          </w14:textFill>
        </w:rPr>
        <w:t>个工作日内支付给乙方。上述款项的支付方式为：</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7A0114F7">
      <w:pPr>
        <w:spacing w:line="360" w:lineRule="auto"/>
        <w:ind w:firstLine="420"/>
        <w:rPr>
          <w:rFonts w:ascii="宋体"/>
          <w:color w:val="000000" w:themeColor="text1"/>
          <w:highlight w:val="none"/>
          <w14:textFill>
            <w14:solidFill>
              <w14:schemeClr w14:val="tx1"/>
            </w14:solidFill>
          </w14:textFill>
        </w:rPr>
      </w:pPr>
    </w:p>
    <w:p w14:paraId="283CBA6F">
      <w:pPr>
        <w:spacing w:line="360" w:lineRule="auto"/>
        <w:ind w:firstLine="48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本合同项下合同总价款分次[    ]支付， 具体支付时间、条件及方式为：</w:t>
      </w:r>
    </w:p>
    <w:p w14:paraId="2703E15E">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2"/>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（每次支付均须注明支付的不含增值税价及增值税金额）</w:t>
      </w:r>
    </w:p>
    <w:p w14:paraId="55B4CBEE">
      <w:pPr>
        <w:spacing w:line="360" w:lineRule="auto"/>
        <w:ind w:firstLine="420"/>
        <w:rPr>
          <w:rFonts w:ascii="宋体"/>
          <w:i/>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hint="eastAsia" w:ascii="宋体"/>
          <w:i/>
          <w:color w:val="000000" w:themeColor="text1"/>
          <w:highlight w:val="none"/>
          <w14:textFill>
            <w14:solidFill>
              <w14:schemeClr w14:val="tx1"/>
            </w14:solidFill>
          </w14:textFill>
        </w:rPr>
        <w:t>使用说明：带“</w:t>
      </w:r>
      <w:r>
        <w:rPr>
          <w:rFonts w:hint="eastAsia" w:ascii="宋体" w:hAnsi="宋体" w:cs="宋体"/>
          <w:b/>
          <w:bCs/>
          <w:color w:val="000000" w:themeColor="text1"/>
          <w:highlight w:val="none"/>
          <w14:textFill>
            <w14:solidFill>
              <w14:schemeClr w14:val="tx1"/>
            </w14:solidFill>
          </w14:textFill>
        </w:rPr>
        <w:t>□</w:t>
      </w:r>
      <w:r>
        <w:rPr>
          <w:rFonts w:hint="eastAsia" w:ascii="宋体"/>
          <w:i/>
          <w:color w:val="000000" w:themeColor="text1"/>
          <w:highlight w:val="none"/>
          <w14:textFill>
            <w14:solidFill>
              <w14:schemeClr w14:val="tx1"/>
            </w14:solidFill>
          </w14:textFill>
        </w:rPr>
        <w:t>”为选择项，请根据实际情况选择一次性付款或分次付款，并相应填写付款金额和支付时间、条件及方式等，不适用的条款请删除。]</w:t>
      </w:r>
    </w:p>
    <w:p w14:paraId="14B410D1">
      <w:pPr>
        <w:spacing w:line="360" w:lineRule="auto"/>
        <w:ind w:firstLine="420"/>
        <w:rPr>
          <w:rFonts w:ascii="宋体"/>
          <w:color w:val="000000" w:themeColor="text1"/>
          <w:highlight w:val="none"/>
          <w14:textFill>
            <w14:solidFill>
              <w14:schemeClr w14:val="tx1"/>
            </w14:solidFill>
          </w14:textFill>
        </w:rPr>
      </w:pPr>
      <w:r>
        <w:rPr>
          <w:rFonts w:ascii="宋体"/>
          <w:b/>
          <w:color w:val="000000" w:themeColor="text1"/>
          <w:highlight w:val="none"/>
          <w14:textFill>
            <w14:solidFill>
              <w14:schemeClr w14:val="tx1"/>
            </w14:solidFill>
          </w14:textFill>
        </w:rPr>
        <w:t>2.</w:t>
      </w:r>
      <w:r>
        <w:rPr>
          <w:rFonts w:hint="eastAsia" w:ascii="宋体"/>
          <w:b/>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乙方收款账户户名、开户银行名称和账号为：</w:t>
      </w:r>
    </w:p>
    <w:p w14:paraId="202396A5">
      <w:pPr>
        <w:spacing w:line="360" w:lineRule="auto"/>
        <w:ind w:firstLine="816" w:firstLineChars="34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户</w:t>
      </w: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名</w:t>
      </w:r>
      <w:r>
        <w:rPr>
          <w:rFonts w:ascii="宋体"/>
          <w:color w:val="000000" w:themeColor="text1"/>
          <w:highlight w:val="none"/>
          <w14:textFill>
            <w14:solidFill>
              <w14:schemeClr w14:val="tx1"/>
            </w14:solidFill>
          </w14:textFill>
        </w:rPr>
        <w:t>: [</w:t>
      </w:r>
      <w:r>
        <w:rPr>
          <w:rFonts w:hint="eastAsia" w:ascii="宋体"/>
          <w:color w:val="000000" w:themeColor="text1"/>
          <w:highlight w:val="none"/>
          <w14:textFill>
            <w14:solidFill>
              <w14:schemeClr w14:val="tx1"/>
            </w14:solidFill>
          </w14:textFill>
        </w:rPr>
        <w:t>___________________________</w:t>
      </w:r>
      <w:r>
        <w:rPr>
          <w:rFonts w:ascii="宋体"/>
          <w:color w:val="000000" w:themeColor="text1"/>
          <w:highlight w:val="none"/>
          <w14:textFill>
            <w14:solidFill>
              <w14:schemeClr w14:val="tx1"/>
            </w14:solidFill>
          </w14:textFill>
        </w:rPr>
        <w:t>]</w:t>
      </w:r>
    </w:p>
    <w:p w14:paraId="61B9B591">
      <w:pPr>
        <w:spacing w:line="360" w:lineRule="auto"/>
        <w:ind w:firstLine="420"/>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开户行</w:t>
      </w:r>
      <w:r>
        <w:rPr>
          <w:rFonts w:ascii="宋体"/>
          <w:color w:val="000000" w:themeColor="text1"/>
          <w:highlight w:val="none"/>
          <w14:textFill>
            <w14:solidFill>
              <w14:schemeClr w14:val="tx1"/>
            </w14:solidFill>
          </w14:textFill>
        </w:rPr>
        <w:t>: [</w:t>
      </w:r>
      <w:r>
        <w:rPr>
          <w:rFonts w:hint="eastAsia" w:ascii="宋体"/>
          <w:color w:val="000000" w:themeColor="text1"/>
          <w:highlight w:val="none"/>
          <w14:textFill>
            <w14:solidFill>
              <w14:schemeClr w14:val="tx1"/>
            </w14:solidFill>
          </w14:textFill>
        </w:rPr>
        <w:t>___________________________</w:t>
      </w:r>
      <w:r>
        <w:rPr>
          <w:rFonts w:ascii="宋体"/>
          <w:color w:val="000000" w:themeColor="text1"/>
          <w:highlight w:val="none"/>
          <w14:textFill>
            <w14:solidFill>
              <w14:schemeClr w14:val="tx1"/>
            </w14:solidFill>
          </w14:textFill>
        </w:rPr>
        <w:t>]</w:t>
      </w:r>
    </w:p>
    <w:p w14:paraId="70AB395A">
      <w:pPr>
        <w:spacing w:line="360" w:lineRule="auto"/>
        <w:ind w:firstLine="420"/>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账</w:t>
      </w: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号</w:t>
      </w:r>
      <w:r>
        <w:rPr>
          <w:rFonts w:ascii="宋体"/>
          <w:color w:val="000000" w:themeColor="text1"/>
          <w:highlight w:val="none"/>
          <w14:textFill>
            <w14:solidFill>
              <w14:schemeClr w14:val="tx1"/>
            </w14:solidFill>
          </w14:textFill>
        </w:rPr>
        <w:t>: [</w:t>
      </w:r>
      <w:r>
        <w:rPr>
          <w:rFonts w:hint="eastAsia" w:ascii="宋体"/>
          <w:color w:val="000000" w:themeColor="text1"/>
          <w:highlight w:val="none"/>
          <w14:textFill>
            <w14:solidFill>
              <w14:schemeClr w14:val="tx1"/>
            </w14:solidFill>
          </w14:textFill>
        </w:rPr>
        <w:t>___________________________</w:t>
      </w:r>
      <w:r>
        <w:rPr>
          <w:rFonts w:ascii="宋体"/>
          <w:color w:val="000000" w:themeColor="text1"/>
          <w:highlight w:val="none"/>
          <w14:textFill>
            <w14:solidFill>
              <w14:schemeClr w14:val="tx1"/>
            </w14:solidFill>
          </w14:textFill>
        </w:rPr>
        <w:t>]</w:t>
      </w:r>
    </w:p>
    <w:p w14:paraId="56643076">
      <w:pPr>
        <w:spacing w:line="360" w:lineRule="auto"/>
        <w:ind w:firstLine="420"/>
        <w:rPr>
          <w:rFonts w:ascii="宋体"/>
          <w:b/>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 xml:space="preserve">   财务联系人及电话：</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___________________________</w:t>
      </w:r>
      <w:r>
        <w:rPr>
          <w:rFonts w:ascii="宋体"/>
          <w:color w:val="000000" w:themeColor="text1"/>
          <w:highlight w:val="none"/>
          <w14:textFill>
            <w14:solidFill>
              <w14:schemeClr w14:val="tx1"/>
            </w14:solidFill>
          </w14:textFill>
        </w:rPr>
        <w:t>]</w:t>
      </w:r>
    </w:p>
    <w:p w14:paraId="6E4D01B3">
      <w:pPr>
        <w:spacing w:line="360" w:lineRule="auto"/>
        <w:ind w:firstLine="42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3.</w:t>
      </w:r>
      <w:r>
        <w:rPr>
          <w:rFonts w:hint="eastAsia" w:ascii="宋体"/>
          <w:color w:val="000000" w:themeColor="text1"/>
          <w:highlight w:val="none"/>
          <w14:textFill>
            <w14:solidFill>
              <w14:schemeClr w14:val="tx1"/>
            </w14:solidFill>
          </w14:textFill>
        </w:rPr>
        <w:t xml:space="preserve">发票： </w:t>
      </w:r>
    </w:p>
    <w:p w14:paraId="13F4D23C">
      <w:pPr>
        <w:tabs>
          <w:tab w:val="left" w:pos="0"/>
        </w:tabs>
        <w:spacing w:line="490" w:lineRule="exact"/>
        <w:ind w:firstLine="470" w:firstLineChars="196"/>
        <w:jc w:val="left"/>
        <w:rPr>
          <w:rFonts w:ascii="宋体" w:hAnsi="宋体" w:cs="Arial"/>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乙方须在要求甲方支付每期合同款时，向甲方开具本次付款金额对应的增值税专用发票。</w:t>
      </w:r>
    </w:p>
    <w:p w14:paraId="0482BEEF">
      <w:pPr>
        <w:tabs>
          <w:tab w:val="left" w:pos="0"/>
        </w:tabs>
        <w:spacing w:line="490" w:lineRule="exact"/>
        <w:ind w:firstLine="470" w:firstLineChars="196"/>
        <w:jc w:val="left"/>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乙方如为一般纳税人，应向甲方开具增值税专用发票；如为小规模纳税人，须要求税务局代开增值税专用发票。乙方须在增值税专用发票开具后</w:t>
      </w:r>
      <w:r>
        <w:rPr>
          <w:rFonts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个自然日（原则上不超过20个自然日）内，将增值税专用发票提交至甲方。</w:t>
      </w:r>
    </w:p>
    <w:p w14:paraId="4CF654CF">
      <w:pPr>
        <w:spacing w:line="360" w:lineRule="auto"/>
        <w:ind w:firstLine="4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乙方开具的增值税专用发票符合以下情形之一的，甲方有权延迟支付应付款项，并要求乙方重新提供，且不承担任何违约责任，乙方各项义务仍按合同约定履行</w:t>
      </w:r>
      <w:r>
        <w:rPr>
          <w:rFonts w:ascii="Georgia" w:hAnsi="Georgia"/>
          <w:color w:val="000000" w:themeColor="text1"/>
          <w:highlight w:val="none"/>
          <w14:textFill>
            <w14:solidFill>
              <w14:schemeClr w14:val="tx1"/>
            </w14:solidFill>
          </w14:textFill>
        </w:rPr>
        <w:t>且须向甲方重新开具增值税专用发票</w:t>
      </w:r>
      <w:r>
        <w:rPr>
          <w:rFonts w:hint="eastAsia" w:ascii="宋体"/>
          <w:color w:val="000000" w:themeColor="text1"/>
          <w:highlight w:val="none"/>
          <w14:textFill>
            <w14:solidFill>
              <w14:schemeClr w14:val="tx1"/>
            </w14:solidFill>
          </w14:textFill>
        </w:rPr>
        <w:t>：</w:t>
      </w:r>
    </w:p>
    <w:p w14:paraId="666B3FF3">
      <w:pPr>
        <w:pStyle w:val="66"/>
        <w:numPr>
          <w:ilvl w:val="0"/>
          <w:numId w:val="51"/>
        </w:numPr>
        <w:spacing w:line="360" w:lineRule="auto"/>
        <w:ind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开具虚假、作废、无效发票或因违反国家法律法规开具、提供发票的</w:t>
      </w:r>
    </w:p>
    <w:p w14:paraId="278E96AD">
      <w:pPr>
        <w:pStyle w:val="66"/>
        <w:numPr>
          <w:ilvl w:val="0"/>
          <w:numId w:val="51"/>
        </w:numPr>
        <w:spacing w:line="360" w:lineRule="auto"/>
        <w:ind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开具发票种类错误或开具发票税率与合同约定不符的</w:t>
      </w:r>
    </w:p>
    <w:p w14:paraId="612AA3BB">
      <w:pPr>
        <w:pStyle w:val="66"/>
        <w:numPr>
          <w:ilvl w:val="0"/>
          <w:numId w:val="51"/>
        </w:numPr>
        <w:spacing w:line="360" w:lineRule="auto"/>
        <w:ind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发票信息错误的</w:t>
      </w:r>
    </w:p>
    <w:p w14:paraId="049EA42F">
      <w:pPr>
        <w:pStyle w:val="66"/>
        <w:numPr>
          <w:ilvl w:val="0"/>
          <w:numId w:val="51"/>
        </w:numPr>
        <w:spacing w:line="360" w:lineRule="auto"/>
        <w:ind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因乙方延迟送达、开具错误等原因造成发票认证失败的其他情况</w:t>
      </w:r>
    </w:p>
    <w:p w14:paraId="5519760B">
      <w:pPr>
        <w:spacing w:line="360" w:lineRule="auto"/>
        <w:ind w:firstLine="4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如乙方拒绝重新提供或提供的发票仍不符合法律法规和监管规定的要求，甲方有权解除本合同，并要求乙方承担由此对甲方造成的全部损失。</w:t>
      </w:r>
    </w:p>
    <w:p w14:paraId="66D33C5D">
      <w:pPr>
        <w:spacing w:after="156" w:afterLines="50" w:line="460" w:lineRule="exact"/>
        <w:rPr>
          <w:rFonts w:ascii="黑体" w:hAnsi="黑体" w:eastAsia="黑体"/>
          <w:b w:val="0"/>
          <w:bCs w:val="0"/>
          <w:i/>
          <w:color w:val="000000" w:themeColor="text1"/>
          <w:szCs w:val="21"/>
          <w:highlight w:val="none"/>
          <w14:textFill>
            <w14:solidFill>
              <w14:schemeClr w14:val="tx1"/>
            </w14:solidFill>
          </w14:textFill>
        </w:rPr>
      </w:pPr>
      <w:r>
        <w:rPr>
          <w:rFonts w:hint="eastAsia" w:eastAsia="等线"/>
          <w:b w:val="0"/>
          <w:bCs w:val="0"/>
          <w:color w:val="000000" w:themeColor="text1"/>
          <w:szCs w:val="21"/>
          <w:highlight w:val="none"/>
          <w14:textFill>
            <w14:solidFill>
              <w14:schemeClr w14:val="tx1"/>
            </w14:solidFill>
          </w14:textFill>
        </w:rPr>
        <w:t xml:space="preserve">【第八条】 </w:t>
      </w:r>
      <w:r>
        <w:rPr>
          <w:rFonts w:ascii="黑体" w:hAnsi="黑体" w:eastAsia="黑体"/>
          <w:b w:val="0"/>
          <w:bCs w:val="0"/>
          <w:color w:val="000000" w:themeColor="text1"/>
          <w:szCs w:val="21"/>
          <w:highlight w:val="none"/>
          <w14:textFill>
            <w14:solidFill>
              <w14:schemeClr w14:val="tx1"/>
            </w14:solidFill>
          </w14:textFill>
        </w:rPr>
        <w:t>中小企业供应商特别约定</w:t>
      </w:r>
      <w:r>
        <w:rPr>
          <w:rFonts w:ascii="宋体" w:hAnsi="宋体"/>
          <w:b w:val="0"/>
          <w:bCs w:val="0"/>
          <w:i/>
          <w:color w:val="000000" w:themeColor="text1"/>
          <w:szCs w:val="21"/>
          <w:highlight w:val="none"/>
          <w14:textFill>
            <w14:solidFill>
              <w14:schemeClr w14:val="tx1"/>
            </w14:solidFill>
          </w14:textFill>
        </w:rPr>
        <w:t>[</w:t>
      </w:r>
      <w:r>
        <w:rPr>
          <w:rFonts w:hint="eastAsia" w:ascii="宋体" w:hAnsi="宋体"/>
          <w:b w:val="0"/>
          <w:bCs w:val="0"/>
          <w:i/>
          <w:color w:val="000000" w:themeColor="text1"/>
          <w:szCs w:val="21"/>
          <w:highlight w:val="none"/>
          <w14:textFill>
            <w14:solidFill>
              <w14:schemeClr w14:val="tx1"/>
            </w14:solidFill>
          </w14:textFill>
        </w:rPr>
        <w:t>使用说明：请根据项目具体情况确定是否适用，如不适用，应删除</w:t>
      </w:r>
      <w:r>
        <w:rPr>
          <w:rFonts w:ascii="宋体" w:hAnsi="宋体"/>
          <w:b w:val="0"/>
          <w:bCs w:val="0"/>
          <w:i/>
          <w:color w:val="000000" w:themeColor="text1"/>
          <w:szCs w:val="21"/>
          <w:highlight w:val="none"/>
          <w14:textFill>
            <w14:solidFill>
              <w14:schemeClr w14:val="tx1"/>
            </w14:solidFill>
          </w14:textFill>
        </w:rPr>
        <w:t>]</w:t>
      </w:r>
    </w:p>
    <w:p w14:paraId="20B222C2">
      <w:pPr>
        <w:spacing w:line="360" w:lineRule="auto"/>
        <w:ind w:firstLine="480" w:firstLineChars="200"/>
        <w:rPr>
          <w:rFonts w:ascii="宋体"/>
          <w:b w:val="0"/>
          <w:bCs w:val="0"/>
          <w:color w:val="000000" w:themeColor="text1"/>
          <w:highlight w:val="none"/>
          <w14:textFill>
            <w14:solidFill>
              <w14:schemeClr w14:val="tx1"/>
            </w14:solidFill>
          </w14:textFill>
        </w:rPr>
      </w:pPr>
      <w:r>
        <w:rPr>
          <w:rFonts w:hint="eastAsia" w:ascii="宋体"/>
          <w:b w:val="0"/>
          <w:bCs w:val="0"/>
          <w:color w:val="000000" w:themeColor="text1"/>
          <w:highlight w:val="none"/>
          <w14:textFill>
            <w14:solidFill>
              <w14:schemeClr w14:val="tx1"/>
            </w14:solidFill>
          </w14:textFill>
        </w:rPr>
        <w:t>1.付款期限</w:t>
      </w:r>
    </w:p>
    <w:p w14:paraId="5E90BD30">
      <w:pPr>
        <w:spacing w:line="360" w:lineRule="auto"/>
        <w:ind w:firstLine="480" w:firstLineChars="200"/>
        <w:rPr>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w:t>
      </w:r>
      <w:r>
        <w:rPr>
          <w:rFonts w:hint="eastAsia" w:ascii="宋体" w:hAnsi="Arial"/>
          <w:b w:val="0"/>
          <w:bCs w:val="0"/>
          <w:color w:val="000000" w:themeColor="text1"/>
          <w:highlight w:val="none"/>
          <w14:textFill>
            <w14:solidFill>
              <w14:schemeClr w14:val="tx1"/>
            </w14:solidFill>
          </w14:textFill>
        </w:rPr>
        <w:t>甲乙双方</w:t>
      </w:r>
      <w:r>
        <w:rPr>
          <w:rFonts w:hint="eastAsia"/>
          <w:b w:val="0"/>
          <w:bCs w:val="0"/>
          <w:color w:val="000000" w:themeColor="text1"/>
          <w:highlight w:val="none"/>
          <w14:textFill>
            <w14:solidFill>
              <w14:schemeClr w14:val="tx1"/>
            </w14:solidFill>
          </w14:textFill>
        </w:rPr>
        <w:t>按照行业规范、交易习惯在</w:t>
      </w:r>
      <w:r>
        <w:rPr>
          <w:b w:val="0"/>
          <w:bCs w:val="0"/>
          <w:color w:val="000000" w:themeColor="text1"/>
          <w:highlight w:val="none"/>
          <w14:textFill>
            <w14:solidFill>
              <w14:schemeClr w14:val="tx1"/>
            </w14:solidFill>
          </w14:textFill>
        </w:rPr>
        <w:t>合同中</w:t>
      </w:r>
      <w:r>
        <w:rPr>
          <w:rFonts w:hint="eastAsia"/>
          <w:b w:val="0"/>
          <w:bCs w:val="0"/>
          <w:color w:val="000000" w:themeColor="text1"/>
          <w:highlight w:val="none"/>
          <w14:textFill>
            <w14:solidFill>
              <w14:schemeClr w14:val="tx1"/>
            </w14:solidFill>
          </w14:textFill>
        </w:rPr>
        <w:t>约定了付款期限，付款期限自货物、工程、服务交付之日起算。</w:t>
      </w:r>
    </w:p>
    <w:p w14:paraId="7735DEDD">
      <w:pPr>
        <w:spacing w:line="360" w:lineRule="auto"/>
        <w:ind w:firstLine="480" w:firstLineChars="200"/>
        <w:rPr>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合同约定了采取：</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履行进度结算/</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定期结算的结算方式，付款期限自</w:t>
      </w:r>
      <w:r>
        <w:rPr>
          <w:rFonts w:hint="eastAsia" w:ascii="宋体" w:hAnsi="Arial"/>
          <w:b w:val="0"/>
          <w:bCs w:val="0"/>
          <w:color w:val="000000" w:themeColor="text1"/>
          <w:highlight w:val="none"/>
          <w14:textFill>
            <w14:solidFill>
              <w14:schemeClr w14:val="tx1"/>
            </w14:solidFill>
          </w14:textFill>
        </w:rPr>
        <w:t>甲乙</w:t>
      </w:r>
      <w:r>
        <w:rPr>
          <w:rFonts w:hint="eastAsia"/>
          <w:b w:val="0"/>
          <w:bCs w:val="0"/>
          <w:color w:val="000000" w:themeColor="text1"/>
          <w:highlight w:val="none"/>
          <w14:textFill>
            <w14:solidFill>
              <w14:schemeClr w14:val="tx1"/>
            </w14:solidFill>
          </w14:textFill>
        </w:rPr>
        <w:t>双方确认结算金额之日起算。</w:t>
      </w:r>
    </w:p>
    <w:p w14:paraId="47B48064">
      <w:pPr>
        <w:spacing w:line="360" w:lineRule="auto"/>
        <w:ind w:firstLine="480" w:firstLineChars="200"/>
        <w:rPr>
          <w:rFonts w:asci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合同约定了以合同标</w:t>
      </w:r>
      <w:r>
        <w:rPr>
          <w:b w:val="0"/>
          <w:bCs w:val="0"/>
          <w:color w:val="000000" w:themeColor="text1"/>
          <w:highlight w:val="none"/>
          <w14:textFill>
            <w14:solidFill>
              <w14:schemeClr w14:val="tx1"/>
            </w14:solidFill>
          </w14:textFill>
        </w:rPr>
        <w:t>的物</w:t>
      </w:r>
      <w:r>
        <w:rPr>
          <w:rFonts w:hint="eastAsia"/>
          <w:b w:val="0"/>
          <w:bCs w:val="0"/>
          <w:color w:val="000000" w:themeColor="text1"/>
          <w:highlight w:val="none"/>
          <w14:textFill>
            <w14:solidFill>
              <w14:schemeClr w14:val="tx1"/>
            </w14:solidFill>
          </w14:textFill>
        </w:rPr>
        <w:t>交付后经：</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检验/</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验收合格作为支付乙方款项条件，付款期限自</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检验/</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验收合格之日起算。</w:t>
      </w:r>
      <w:r>
        <w:rPr>
          <w:rFonts w:hint="eastAsia" w:ascii="宋体" w:hAnsi="Arial"/>
          <w:b w:val="0"/>
          <w:bCs w:val="0"/>
          <w:color w:val="000000" w:themeColor="text1"/>
          <w:highlight w:val="none"/>
          <w14:textFill>
            <w14:solidFill>
              <w14:schemeClr w14:val="tx1"/>
            </w14:solidFill>
          </w14:textFill>
        </w:rPr>
        <w:t>甲乙双方在下款</w:t>
      </w:r>
      <w:r>
        <w:rPr>
          <w:rFonts w:hint="eastAsia"/>
          <w:b w:val="0"/>
          <w:bCs w:val="0"/>
          <w:color w:val="000000" w:themeColor="text1"/>
          <w:highlight w:val="none"/>
          <w14:textFill>
            <w14:solidFill>
              <w14:schemeClr w14:val="tx1"/>
            </w14:solidFill>
          </w14:textFill>
        </w:rPr>
        <w:t>约定的期限内完成</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检验/</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验收。</w:t>
      </w:r>
    </w:p>
    <w:p w14:paraId="59B7015F">
      <w:pPr>
        <w:spacing w:line="360" w:lineRule="auto"/>
        <w:ind w:left="422"/>
        <w:rPr>
          <w:rFonts w:ascii="宋体"/>
          <w:b w:val="0"/>
          <w:bCs w:val="0"/>
          <w:color w:val="000000" w:themeColor="text1"/>
          <w:highlight w:val="none"/>
          <w14:textFill>
            <w14:solidFill>
              <w14:schemeClr w14:val="tx1"/>
            </w14:solidFill>
          </w14:textFill>
        </w:rPr>
      </w:pPr>
      <w:r>
        <w:rPr>
          <w:rFonts w:hint="eastAsia" w:ascii="宋体"/>
          <w:b w:val="0"/>
          <w:bCs w:val="0"/>
          <w:color w:val="000000" w:themeColor="text1"/>
          <w:highlight w:val="none"/>
          <w14:textFill>
            <w14:solidFill>
              <w14:schemeClr w14:val="tx1"/>
            </w14:solidFill>
          </w14:textFill>
        </w:rPr>
        <w:t>2.检验或验收期限</w:t>
      </w:r>
    </w:p>
    <w:p w14:paraId="576E9006">
      <w:pPr>
        <w:spacing w:line="360" w:lineRule="auto"/>
        <w:ind w:firstLine="480" w:firstLineChars="20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合同约定了以合同标</w:t>
      </w:r>
      <w:r>
        <w:rPr>
          <w:b w:val="0"/>
          <w:bCs w:val="0"/>
          <w:color w:val="000000" w:themeColor="text1"/>
          <w:highlight w:val="none"/>
          <w14:textFill>
            <w14:solidFill>
              <w14:schemeClr w14:val="tx1"/>
            </w14:solidFill>
          </w14:textFill>
        </w:rPr>
        <w:t>的物</w:t>
      </w:r>
      <w:r>
        <w:rPr>
          <w:rFonts w:hint="eastAsia"/>
          <w:b w:val="0"/>
          <w:bCs w:val="0"/>
          <w:color w:val="000000" w:themeColor="text1"/>
          <w:highlight w:val="none"/>
          <w14:textFill>
            <w14:solidFill>
              <w14:schemeClr w14:val="tx1"/>
            </w14:solidFill>
          </w14:textFill>
        </w:rPr>
        <w:t>交付后经：</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检验/</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验收合格作为支付乙方款项条件，</w:t>
      </w:r>
      <w:r>
        <w:rPr>
          <w:rFonts w:hint="eastAsia" w:ascii="宋体" w:hAnsi="Arial"/>
          <w:b w:val="0"/>
          <w:bCs w:val="0"/>
          <w:color w:val="000000" w:themeColor="text1"/>
          <w:highlight w:val="none"/>
          <w14:textFill>
            <w14:solidFill>
              <w14:schemeClr w14:val="tx1"/>
            </w14:solidFill>
          </w14:textFill>
        </w:rPr>
        <w:t>甲乙双方约定</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检验/</w:t>
      </w:r>
      <w:r>
        <w:rPr>
          <w:rFonts w:hint="eastAsia" w:ascii="宋体" w:hAnsi="宋体"/>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验收期限为</w:t>
      </w:r>
      <w:r>
        <w:rPr>
          <w:b w:val="0"/>
          <w:bCs w:val="0"/>
          <w:color w:val="000000" w:themeColor="text1"/>
          <w:highlight w:val="none"/>
          <w14:textFill>
            <w14:solidFill>
              <w14:schemeClr w14:val="tx1"/>
            </w14:solidFill>
          </w14:textFill>
        </w:rPr>
        <w:t>：自</w:t>
      </w:r>
      <w:r>
        <w:rPr>
          <w:rFonts w:hint="eastAsia"/>
          <w:b w:val="0"/>
          <w:bCs w:val="0"/>
          <w:color w:val="000000" w:themeColor="text1"/>
          <w:highlight w:val="none"/>
          <w:u w:val="single"/>
          <w14:textFill>
            <w14:solidFill>
              <w14:schemeClr w14:val="tx1"/>
            </w14:solidFill>
          </w14:textFill>
        </w:rPr>
        <w:t xml:space="preserve">    </w:t>
      </w:r>
      <w:r>
        <w:rPr>
          <w:b w:val="0"/>
          <w:bCs w:val="0"/>
          <w:color w:val="000000" w:themeColor="text1"/>
          <w:highlight w:val="none"/>
          <w:u w:val="single"/>
          <w14:textFill>
            <w14:solidFill>
              <w14:schemeClr w14:val="tx1"/>
            </w14:solidFill>
          </w14:textFill>
        </w:rPr>
        <w:t xml:space="preserve">                  </w:t>
      </w:r>
      <w:r>
        <w:rPr>
          <w:rFonts w:hint="eastAsia"/>
          <w:b w:val="0"/>
          <w:bCs w:val="0"/>
          <w:color w:val="000000" w:themeColor="text1"/>
          <w:highlight w:val="none"/>
          <w:u w:val="single"/>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起，</w:t>
      </w:r>
      <w:r>
        <w:rPr>
          <w:b w:val="0"/>
          <w:bCs w:val="0"/>
          <w:color w:val="000000" w:themeColor="text1"/>
          <w:highlight w:val="none"/>
          <w14:textFill>
            <w14:solidFill>
              <w14:schemeClr w14:val="tx1"/>
            </w14:solidFill>
          </w14:textFill>
        </w:rPr>
        <w:t>期限</w:t>
      </w:r>
      <w:r>
        <w:rPr>
          <w:rFonts w:hint="eastAsia"/>
          <w:b w:val="0"/>
          <w:bCs w:val="0"/>
          <w:color w:val="000000" w:themeColor="text1"/>
          <w:highlight w:val="none"/>
          <w:u w:val="single"/>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天。</w:t>
      </w:r>
    </w:p>
    <w:p w14:paraId="5A234AEF">
      <w:pPr>
        <w:spacing w:line="360" w:lineRule="auto"/>
        <w:ind w:firstLine="420"/>
        <w:rPr>
          <w:rFonts w:ascii="宋体"/>
          <w:color w:val="000000" w:themeColor="text1"/>
          <w:highlight w:val="none"/>
          <w14:textFill>
            <w14:solidFill>
              <w14:schemeClr w14:val="tx1"/>
            </w14:solidFill>
          </w14:textFill>
        </w:rPr>
      </w:pPr>
    </w:p>
    <w:p w14:paraId="01DE5267">
      <w:pPr>
        <w:spacing w:line="360" w:lineRule="auto"/>
        <w:rPr>
          <w:rFonts w:ascii="宋体" w:hAnsi="宋体" w:cs="Arial"/>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【第九条】权利保证</w:t>
      </w:r>
    </w:p>
    <w:p w14:paraId="4D1A2A80">
      <w:pPr>
        <w:spacing w:line="360" w:lineRule="auto"/>
        <w:ind w:firstLine="42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乙方保证对其提供的货物拥有合法的所有权或处分权，并保证不侵犯第三人之著作权、商标权、专利权等知识产权及肖像权、名誉权、个人信息等其他合法权益，不会侵犯任何第三人的商业秘密或对任何第三人构成不正当竞争，如因此与第三人形成争议、诉讼或仲裁案件，由乙方承担全部责任，并负责赔偿甲方由此而遭受的全部损失。同时乙方需提供全力支持防止因上述侵权给甲方带来的直接和预期的损失，包括但不限于提供功能上相等的甲方认可的可以达到原合同目的的其他产品，并承担因此而产生的所有的费用。</w:t>
      </w:r>
    </w:p>
    <w:p w14:paraId="223D4B74">
      <w:pPr>
        <w:spacing w:line="360" w:lineRule="auto"/>
        <w:ind w:firstLine="42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任何一方不因本合同磋商、签订及履行而获得明示或暗示的使用对方（包括其子、分公司）的商标、商号、标识、标志或其他名称、或技术或业务的资料、信息、数据、文件、流程的权利，除非事先获得对方的特别书面授权。</w:t>
      </w:r>
    </w:p>
    <w:p w14:paraId="37EE74AC">
      <w:pPr>
        <w:adjustRightInd w:val="0"/>
        <w:snapToGrid w:val="0"/>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【第十条】保密</w:t>
      </w:r>
    </w:p>
    <w:p w14:paraId="5F52D0B2">
      <w:pPr>
        <w:spacing w:line="360" w:lineRule="auto"/>
        <w:ind w:firstLine="420"/>
        <w:rPr>
          <w:rFonts w:ascii="Arial" w:hAnsi="Arial"/>
          <w:color w:val="000000" w:themeColor="text1"/>
          <w:highlight w:val="none"/>
          <w14:textFill>
            <w14:solidFill>
              <w14:schemeClr w14:val="tx1"/>
            </w14:solidFill>
          </w14:textFill>
        </w:rPr>
      </w:pPr>
      <w:r>
        <w:rPr>
          <w:rFonts w:hint="eastAsia" w:ascii="宋体" w:hAnsi="Arial"/>
          <w:color w:val="000000" w:themeColor="text1"/>
          <w:highlight w:val="none"/>
          <w14:textFill>
            <w14:solidFill>
              <w14:schemeClr w14:val="tx1"/>
            </w14:solidFill>
          </w14:textFill>
        </w:rPr>
        <w:t>在本合同履行期间及履行完毕的任何时候，</w:t>
      </w:r>
      <w:r>
        <w:rPr>
          <w:rFonts w:hint="eastAsia" w:ascii="Arial" w:hAnsi="Arial"/>
          <w:color w:val="000000" w:themeColor="text1"/>
          <w:highlight w:val="none"/>
          <w14:textFill>
            <w14:solidFill>
              <w14:schemeClr w14:val="tx1"/>
            </w14:solidFill>
          </w14:textFill>
        </w:rPr>
        <w:t>未经对方同意，任何一方不得以任何形式公开或向任何第三方披露本合同及附件内容，以确保双方的商业机密，法律法规或监管要求另有规定的除外。</w:t>
      </w:r>
    </w:p>
    <w:p w14:paraId="76B00F88">
      <w:pPr>
        <w:autoSpaceDE w:val="0"/>
        <w:autoSpaceDN w:val="0"/>
        <w:adjustRightInd w:val="0"/>
        <w:spacing w:line="360" w:lineRule="auto"/>
        <w:ind w:firstLine="480" w:firstLineChars="200"/>
        <w:jc w:val="left"/>
        <w:rPr>
          <w:rFonts w:ascii="宋体" w:hAnsi="宋体" w:cs="HiddenHorzOCR"/>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如需要，乙方应根据甲方的要求签署相应的保密协议，保密协议与本条款存在不一致的，以保密协议为准。</w:t>
      </w:r>
    </w:p>
    <w:p w14:paraId="407BD65C">
      <w:pPr>
        <w:autoSpaceDE w:val="0"/>
        <w:autoSpaceDN w:val="0"/>
        <w:adjustRightInd w:val="0"/>
        <w:spacing w:line="360" w:lineRule="auto"/>
        <w:jc w:val="left"/>
        <w:rPr>
          <w:rFonts w:ascii="宋体" w:hAnsi="宋体" w:cs="HiddenHorzOCR"/>
          <w:b/>
          <w:color w:val="000000" w:themeColor="text1"/>
          <w:kern w:val="0"/>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【第十一条】</w:t>
      </w:r>
      <w:r>
        <w:rPr>
          <w:rFonts w:hint="eastAsia" w:ascii="宋体" w:hAnsi="宋体" w:cs="HiddenHorzOCR"/>
          <w:b/>
          <w:color w:val="000000" w:themeColor="text1"/>
          <w:kern w:val="0"/>
          <w:szCs w:val="21"/>
          <w:highlight w:val="none"/>
          <w14:textFill>
            <w14:solidFill>
              <w14:schemeClr w14:val="tx1"/>
            </w14:solidFill>
          </w14:textFill>
        </w:rPr>
        <w:t xml:space="preserve">  其他约定</w:t>
      </w:r>
    </w:p>
    <w:p w14:paraId="6B5AB6BE">
      <w:pPr>
        <w:autoSpaceDE w:val="0"/>
        <w:autoSpaceDN w:val="0"/>
        <w:adjustRightInd w:val="0"/>
        <w:spacing w:line="360" w:lineRule="auto"/>
        <w:ind w:firstLine="482"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b/>
          <w:color w:val="000000" w:themeColor="text1"/>
          <w:kern w:val="0"/>
          <w:szCs w:val="21"/>
          <w:highlight w:val="none"/>
          <w14:textFill>
            <w14:solidFill>
              <w14:schemeClr w14:val="tx1"/>
            </w14:solidFill>
          </w14:textFill>
        </w:rPr>
        <w:t>1.</w:t>
      </w:r>
      <w:r>
        <w:rPr>
          <w:rFonts w:hint="eastAsia" w:ascii="宋体" w:hAnsi="宋体" w:cs="HiddenHorzOCR"/>
          <w:color w:val="000000" w:themeColor="text1"/>
          <w:kern w:val="0"/>
          <w:szCs w:val="21"/>
          <w:highlight w:val="none"/>
          <w14:textFill>
            <w14:solidFill>
              <w14:schemeClr w14:val="tx1"/>
            </w14:solidFill>
          </w14:textFill>
        </w:rPr>
        <w:t xml:space="preserve"> 通知</w:t>
      </w:r>
    </w:p>
    <w:p w14:paraId="7C8EB58A">
      <w:pPr>
        <w:autoSpaceDE w:val="0"/>
        <w:autoSpaceDN w:val="0"/>
        <w:adjustRightInd w:val="0"/>
        <w:spacing w:line="360" w:lineRule="auto"/>
        <w:ind w:firstLine="420"/>
        <w:jc w:val="left"/>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乙方发生名称、法定代表人</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负责人</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、住所、经营范围、注册资本金或公司</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企业</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章程等工商登记事项或税务登记事项（如增值税纳税人身份变更）变更的，应当在变更后五个工作日内书面通知甲方，并附变更后的相关材料。</w:t>
      </w:r>
    </w:p>
    <w:p w14:paraId="145DB24D">
      <w:pPr>
        <w:autoSpaceDE w:val="0"/>
        <w:autoSpaceDN w:val="0"/>
        <w:adjustRightInd w:val="0"/>
        <w:spacing w:line="360" w:lineRule="auto"/>
        <w:ind w:firstLine="480" w:firstLineChars="200"/>
        <w:jc w:val="left"/>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乙方发生包括但不限于申请</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被申请破产、停产、歇业、被吊销营业执照或相关资质、涉及重大法律纠纷、生产经营出现严重困难或财务状况恶化等可能影响履行本合同约定义务的，乙方应立即书面通知甲方，甲方有权要求乙方为本合同的履行安排提供甲方认可的担保，在乙方安排提供甲方认可的担保前，甲方有权暂停履行本合同项下的采购或支付义务。</w:t>
      </w:r>
    </w:p>
    <w:p w14:paraId="432BA886">
      <w:pPr>
        <w:autoSpaceDE w:val="0"/>
        <w:autoSpaceDN w:val="0"/>
        <w:adjustRightInd w:val="0"/>
        <w:spacing w:line="360" w:lineRule="auto"/>
        <w:ind w:firstLine="482"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b/>
          <w:color w:val="000000" w:themeColor="text1"/>
          <w:kern w:val="0"/>
          <w:szCs w:val="21"/>
          <w:highlight w:val="none"/>
          <w14:textFill>
            <w14:solidFill>
              <w14:schemeClr w14:val="tx1"/>
            </w14:solidFill>
          </w14:textFill>
        </w:rPr>
        <w:t xml:space="preserve">2. </w:t>
      </w:r>
      <w:r>
        <w:rPr>
          <w:rFonts w:hint="eastAsia" w:ascii="宋体" w:hAnsi="宋体" w:cs="HiddenHorzOCR"/>
          <w:color w:val="000000" w:themeColor="text1"/>
          <w:kern w:val="0"/>
          <w:szCs w:val="21"/>
          <w:highlight w:val="none"/>
          <w14:textFill>
            <w14:solidFill>
              <w14:schemeClr w14:val="tx1"/>
            </w14:solidFill>
          </w14:textFill>
        </w:rPr>
        <w:t>不可抗力</w:t>
      </w:r>
    </w:p>
    <w:p w14:paraId="08B431E8">
      <w:pPr>
        <w:spacing w:line="360" w:lineRule="auto"/>
        <w:ind w:firstLine="48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不可抗力，系指地震、台风、水灾、火灾、战争、政府禁令等不能预见、不能避免并不能克服的，直接影响本合同履行的意外事件。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515BC06B">
      <w:pPr>
        <w:spacing w:line="360" w:lineRule="auto"/>
        <w:ind w:firstLine="48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受不可抗力影响的一方，应当尽可能采取合理的行为和适当的措施减轻不可抗力对履行本合同所造成的影响。没有采取适当措施致使损失扩大的，该方不能就扩大损失的部分要求免责，仍需就扩大损失的部分承担赔偿责任。</w:t>
      </w:r>
    </w:p>
    <w:p w14:paraId="1EEDDBB5">
      <w:pPr>
        <w:spacing w:line="360" w:lineRule="auto"/>
        <w:ind w:firstLine="48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受不可抗力影响一方应在不可抗力事件发生后[</w:t>
      </w:r>
      <w:r>
        <w:rPr>
          <w:rFonts w:hint="eastAsia"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]个工作日内将不能履行本合同的原因书面通知对方，并提供有效的证明文件。</w:t>
      </w:r>
    </w:p>
    <w:p w14:paraId="3D1A3325">
      <w:pPr>
        <w:spacing w:line="360" w:lineRule="auto"/>
        <w:ind w:firstLine="48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不可抗力影响结束后，受影响一方应在[</w:t>
      </w:r>
      <w:r>
        <w:rPr>
          <w:rFonts w:hint="eastAsia"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]个工作日内书面通知对方。</w:t>
      </w:r>
    </w:p>
    <w:p w14:paraId="66B602B2">
      <w:pPr>
        <w:spacing w:line="360" w:lineRule="auto"/>
        <w:ind w:firstLine="480" w:firstLineChars="200"/>
        <w:rPr>
          <w:rFonts w:ascii="宋体"/>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如果不可抗力影响超过[</w:t>
      </w:r>
      <w:r>
        <w:rPr>
          <w:rFonts w:hint="eastAsia"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]天，各方可协商解决此后的合同执行问题。如果各方在相应顺延的[</w:t>
      </w:r>
      <w:r>
        <w:rPr>
          <w:rFonts w:hint="eastAsia"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]天内未能协商一致，各方均有权解除合同。</w:t>
      </w:r>
    </w:p>
    <w:p w14:paraId="6AAEC4B8">
      <w:pPr>
        <w:autoSpaceDE w:val="0"/>
        <w:autoSpaceDN w:val="0"/>
        <w:adjustRightInd w:val="0"/>
        <w:spacing w:line="360" w:lineRule="auto"/>
        <w:ind w:firstLine="482"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b/>
          <w:color w:val="000000" w:themeColor="text1"/>
          <w:kern w:val="0"/>
          <w:szCs w:val="21"/>
          <w:highlight w:val="none"/>
          <w14:textFill>
            <w14:solidFill>
              <w14:schemeClr w14:val="tx1"/>
            </w14:solidFill>
          </w14:textFill>
        </w:rPr>
        <w:t xml:space="preserve">3. </w:t>
      </w:r>
      <w:r>
        <w:rPr>
          <w:rFonts w:hint="eastAsia" w:ascii="宋体" w:hAnsi="宋体" w:cs="HiddenHorzOCR"/>
          <w:color w:val="000000" w:themeColor="text1"/>
          <w:kern w:val="0"/>
          <w:szCs w:val="21"/>
          <w:highlight w:val="none"/>
          <w14:textFill>
            <w14:solidFill>
              <w14:schemeClr w14:val="tx1"/>
            </w14:solidFill>
          </w14:textFill>
        </w:rPr>
        <w:t>市场宣传</w:t>
      </w:r>
    </w:p>
    <w:p w14:paraId="77EF4F24">
      <w:pPr>
        <w:autoSpaceDE w:val="0"/>
        <w:autoSpaceDN w:val="0"/>
        <w:adjustRightInd w:val="0"/>
        <w:spacing w:line="360" w:lineRule="auto"/>
        <w:ind w:firstLine="480"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color w:val="000000" w:themeColor="text1"/>
          <w:kern w:val="0"/>
          <w:szCs w:val="21"/>
          <w:highlight w:val="none"/>
          <w14:textFill>
            <w14:solidFill>
              <w14:schemeClr w14:val="tx1"/>
            </w14:solidFill>
          </w14:textFill>
        </w:rPr>
        <w:t>未经甲方书面同意，乙方不得在市场宣传中使用与甲方的合作案例，不得将中国银行作为业务合作伙伴进行宣传，不得使用中国银行的商标、标志语、徽标等。</w:t>
      </w:r>
    </w:p>
    <w:p w14:paraId="671FC088">
      <w:pPr>
        <w:autoSpaceDE w:val="0"/>
        <w:autoSpaceDN w:val="0"/>
        <w:adjustRightInd w:val="0"/>
        <w:spacing w:line="360" w:lineRule="auto"/>
        <w:ind w:firstLine="482"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b/>
          <w:color w:val="000000" w:themeColor="text1"/>
          <w:kern w:val="0"/>
          <w:szCs w:val="21"/>
          <w:highlight w:val="none"/>
          <w14:textFill>
            <w14:solidFill>
              <w14:schemeClr w14:val="tx1"/>
            </w14:solidFill>
          </w14:textFill>
        </w:rPr>
        <w:t>4.</w:t>
      </w:r>
      <w:r>
        <w:rPr>
          <w:rFonts w:hint="eastAsia" w:ascii="宋体" w:hAnsi="宋体" w:cs="HiddenHorzOCR"/>
          <w:color w:val="000000" w:themeColor="text1"/>
          <w:kern w:val="0"/>
          <w:szCs w:val="21"/>
          <w:highlight w:val="none"/>
          <w14:textFill>
            <w14:solidFill>
              <w14:schemeClr w14:val="tx1"/>
            </w14:solidFill>
          </w14:textFill>
        </w:rPr>
        <w:t xml:space="preserve"> 合同的完整性</w:t>
      </w:r>
    </w:p>
    <w:p w14:paraId="1B3C3F16">
      <w:pPr>
        <w:autoSpaceDE w:val="0"/>
        <w:autoSpaceDN w:val="0"/>
        <w:adjustRightInd w:val="0"/>
        <w:spacing w:line="360" w:lineRule="auto"/>
        <w:ind w:firstLine="480"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color w:val="000000" w:themeColor="text1"/>
          <w:kern w:val="0"/>
          <w:szCs w:val="21"/>
          <w:highlight w:val="none"/>
          <w14:textFill>
            <w14:solidFill>
              <w14:schemeClr w14:val="tx1"/>
            </w14:solidFill>
          </w14:textFill>
        </w:rPr>
        <w:t>如果乙方在本合同谈判、招标阶段向甲方提供过任何加盖有公章或由授权代表签名的任何正式书面承诺、保证或说明，则该书面承诺、保证或说明材料中有关乙方义务、责任或承诺的内容，均构成本合同项下乙方的义务，对乙方具有法律约束力，但甲方明确书面同意予以免除的除外，如上述书面承诺、保证或说明与本合同约定冲突的，以本合同约定为准。</w:t>
      </w:r>
    </w:p>
    <w:p w14:paraId="60C90537">
      <w:pPr>
        <w:autoSpaceDE w:val="0"/>
        <w:autoSpaceDN w:val="0"/>
        <w:adjustRightInd w:val="0"/>
        <w:spacing w:line="360" w:lineRule="auto"/>
        <w:ind w:firstLine="482"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b/>
          <w:color w:val="000000" w:themeColor="text1"/>
          <w:kern w:val="0"/>
          <w:szCs w:val="21"/>
          <w:highlight w:val="none"/>
          <w14:textFill>
            <w14:solidFill>
              <w14:schemeClr w14:val="tx1"/>
            </w14:solidFill>
          </w14:textFill>
        </w:rPr>
        <w:t>5.</w:t>
      </w:r>
      <w:r>
        <w:rPr>
          <w:rFonts w:hint="eastAsia" w:ascii="宋体" w:hAnsi="宋体" w:cs="HiddenHorzOCR"/>
          <w:color w:val="000000" w:themeColor="text1"/>
          <w:kern w:val="0"/>
          <w:szCs w:val="21"/>
          <w:highlight w:val="none"/>
          <w14:textFill>
            <w14:solidFill>
              <w14:schemeClr w14:val="tx1"/>
            </w14:solidFill>
          </w14:textFill>
        </w:rPr>
        <w:t>其他</w:t>
      </w:r>
    </w:p>
    <w:p w14:paraId="2DE087E8">
      <w:pPr>
        <w:autoSpaceDE w:val="0"/>
        <w:autoSpaceDN w:val="0"/>
        <w:adjustRightInd w:val="0"/>
        <w:spacing w:line="360" w:lineRule="auto"/>
        <w:ind w:firstLine="480"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color w:val="000000" w:themeColor="text1"/>
          <w:kern w:val="0"/>
          <w:szCs w:val="21"/>
          <w:highlight w:val="none"/>
          <w14:textFill>
            <w14:solidFill>
              <w14:schemeClr w14:val="tx1"/>
            </w14:solidFill>
          </w14:textFill>
        </w:rPr>
        <w:t>乙方在合同履行期间或提供的货物因质量问题给甲方及其员工或第三方的财产造成损失或人身安全造成伤害的，责任由乙方承担。</w:t>
      </w:r>
    </w:p>
    <w:p w14:paraId="53313B4A">
      <w:pPr>
        <w:autoSpaceDE w:val="0"/>
        <w:autoSpaceDN w:val="0"/>
        <w:adjustRightInd w:val="0"/>
        <w:spacing w:line="360" w:lineRule="auto"/>
        <w:ind w:firstLine="480" w:firstLineChars="200"/>
        <w:jc w:val="left"/>
        <w:rPr>
          <w:rFonts w:ascii="宋体" w:hAnsi="宋体" w:cs="HiddenHorzOCR"/>
          <w:color w:val="000000" w:themeColor="text1"/>
          <w:kern w:val="0"/>
          <w:szCs w:val="21"/>
          <w:highlight w:val="none"/>
          <w14:textFill>
            <w14:solidFill>
              <w14:schemeClr w14:val="tx1"/>
            </w14:solidFill>
          </w14:textFill>
        </w:rPr>
      </w:pPr>
    </w:p>
    <w:p w14:paraId="5496566A">
      <w:pPr>
        <w:spacing w:line="360" w:lineRule="auto"/>
        <w:ind w:firstLine="482" w:firstLineChars="200"/>
        <w:rPr>
          <w:rFonts w:ascii="宋体" w:hAnsi="宋体" w:cs="Arial"/>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【第十二条】违约责任</w:t>
      </w:r>
    </w:p>
    <w:p w14:paraId="6FD87439">
      <w:pPr>
        <w:spacing w:line="360" w:lineRule="auto"/>
        <w:ind w:firstLine="405"/>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（一）甲方的违约责任包括：</w:t>
      </w:r>
    </w:p>
    <w:p w14:paraId="2DE9D49A">
      <w:pPr>
        <w:spacing w:line="360" w:lineRule="auto"/>
        <w:ind w:firstLine="405"/>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甲方无故中途退货，乙方须就退货部分向甲方开具增值税红字发票，甲方应向乙方支付退货部分货款[</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]%的违约金，因乙方违约及本合同另有规定的除外。</w:t>
      </w:r>
    </w:p>
    <w:p w14:paraId="6FF25EAC">
      <w:pPr>
        <w:spacing w:line="360" w:lineRule="auto"/>
        <w:ind w:firstLine="405"/>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（二）乙方的违约责任包括：</w:t>
      </w:r>
    </w:p>
    <w:p w14:paraId="324EF00E">
      <w:pPr>
        <w:spacing w:line="360" w:lineRule="auto"/>
        <w:ind w:firstLine="420"/>
        <w:rPr>
          <w:rFonts w:ascii="宋体"/>
          <w:color w:val="000000" w:themeColor="text1"/>
          <w:highlight w:val="none"/>
          <w14:textFill>
            <w14:solidFill>
              <w14:schemeClr w14:val="tx1"/>
            </w14:solidFill>
          </w14:textFill>
        </w:rPr>
      </w:pPr>
      <w:r>
        <w:rPr>
          <w:rFonts w:ascii="宋体"/>
          <w:b/>
          <w:color w:val="000000" w:themeColor="text1"/>
          <w:highlight w:val="none"/>
          <w14:textFill>
            <w14:solidFill>
              <w14:schemeClr w14:val="tx1"/>
            </w14:solidFill>
          </w14:textFill>
        </w:rPr>
        <w:t>1.</w:t>
      </w:r>
      <w:r>
        <w:rPr>
          <w:rFonts w:hint="eastAsia" w:ascii="宋体"/>
          <w:color w:val="000000" w:themeColor="text1"/>
          <w:highlight w:val="none"/>
          <w14:textFill>
            <w14:solidFill>
              <w14:schemeClr w14:val="tx1"/>
            </w14:solidFill>
          </w14:textFill>
        </w:rPr>
        <w:t>乙方所交货物品种、型号、规格、质量、功能、外观等不符合本合同规定的，如果甲方同意使用，应当按质论价；如果甲方认为不能使用的，应根据货物的具体情况，由乙方在[</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个工作日内负责包换或包修，并承担因修理、调换、运输而产生的全部费用。乙方不能在前述时间内完成修理或者调换，或者修理和调换后的货物仍不符合合同规定的，甲方有权退货，并要求乙方按不能交货部分货款的[</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承担违约金并赔偿甲方的损失。甲方退货的，乙方除承担上述违约责任外，应自甲方提出退货要求起[</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]日内向甲方退回退货部分的全部货款，并自行负责货物运输等事宜，逾期未支付退货货款的，乙方还应按逾期未退货款的日万分之[</w:t>
      </w:r>
      <w:r>
        <w:rPr>
          <w:rFonts w:ascii="宋体"/>
          <w:color w:val="000000" w:themeColor="text1"/>
          <w:highlight w:val="none"/>
          <w:u w:val="single"/>
          <w14:textFill>
            <w14:solidFill>
              <w14:schemeClr w14:val="tx1"/>
            </w14:solidFill>
          </w14:textFill>
        </w:rPr>
        <w:t xml:space="preserve">  </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 xml:space="preserve"> 承担违约金。对于退货款项，</w:t>
      </w:r>
      <w:r>
        <w:rPr>
          <w:rFonts w:hint="eastAsia" w:ascii="宋体"/>
          <w:bCs/>
          <w:color w:val="000000" w:themeColor="text1"/>
          <w:highlight w:val="none"/>
          <w14:textFill>
            <w14:solidFill>
              <w14:schemeClr w14:val="tx1"/>
            </w14:solidFill>
          </w14:textFill>
        </w:rPr>
        <w:t>甲方有权自行从应付合同总价款中扣除充抵，并要求乙方开具增值税红字发票。</w:t>
      </w:r>
    </w:p>
    <w:p w14:paraId="402FD1FC">
      <w:pPr>
        <w:spacing w:line="360" w:lineRule="auto"/>
        <w:ind w:firstLine="42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乙方提前交货的，甲方接货后，仍可按合同规定的交货时间付款。乙方逾期交货的，应在发货前</w:t>
      </w:r>
      <w:r>
        <w:rPr>
          <w:rFonts w:ascii="宋体"/>
          <w:color w:val="000000" w:themeColor="text1"/>
          <w:highlight w:val="none"/>
          <w14:textFill>
            <w14:solidFill>
              <w14:schemeClr w14:val="tx1"/>
            </w14:solidFill>
          </w14:textFill>
        </w:rPr>
        <w:t>[</w:t>
      </w:r>
      <w:r>
        <w:rPr>
          <w:rFonts w:ascii="宋体"/>
          <w:color w:val="000000" w:themeColor="text1"/>
          <w:highlight w:val="none"/>
          <w:u w:val="single"/>
          <w14:textFill>
            <w14:solidFill>
              <w14:schemeClr w14:val="tx1"/>
            </w14:solidFill>
          </w14:textFill>
        </w:rPr>
        <w:t xml:space="preserve">  </w:t>
      </w:r>
      <w:r>
        <w:rPr>
          <w:rFonts w:ascii="宋体"/>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个工作日内书面通知甲方，与甲方协商，甲方仍需要的，乙方应继续交货，并按每逾期一日支付合同价款的[</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承担逾期交货责任；甲方不再需要的，应当在接到乙方通知后[</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]日内通知乙方，单方解除合同，并有权要求乙方赔偿因逾期交货给甲方造成的损失。甲方逾期不答复的，视为同意发货。不论乙方是否书面通知甲方，如乙方逾期交货超过[</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]天，甲方即有权单方解除合同，并要求乙方赔偿因逾期交货给甲方造成的损失。</w:t>
      </w:r>
    </w:p>
    <w:p w14:paraId="3E5495A5">
      <w:pPr>
        <w:spacing w:line="360" w:lineRule="auto"/>
        <w:ind w:firstLine="42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3.</w:t>
      </w:r>
      <w:r>
        <w:rPr>
          <w:rFonts w:hint="eastAsia" w:ascii="宋体"/>
          <w:color w:val="000000" w:themeColor="text1"/>
          <w:highlight w:val="none"/>
          <w14:textFill>
            <w14:solidFill>
              <w14:schemeClr w14:val="tx1"/>
            </w14:solidFill>
          </w14:textFill>
        </w:rPr>
        <w:t>乙方不能按本合同要求提供货物的保修服务的，应向甲方偿付合同总价款的[</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的违约金并赔偿甲方的损失。如果此等违约造成本合同项下货物的使用目的无法实现的，甲方有权解除合同并主张除违约金以外的损害赔偿。</w:t>
      </w:r>
    </w:p>
    <w:p w14:paraId="4D35F6F5">
      <w:pPr>
        <w:spacing w:line="360" w:lineRule="auto"/>
        <w:ind w:firstLine="42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4．</w:t>
      </w:r>
      <w:r>
        <w:rPr>
          <w:rFonts w:hint="eastAsia" w:ascii="宋体"/>
          <w:color w:val="000000" w:themeColor="text1"/>
          <w:highlight w:val="none"/>
          <w14:textFill>
            <w14:solidFill>
              <w14:schemeClr w14:val="tx1"/>
            </w14:solidFill>
          </w14:textFill>
        </w:rPr>
        <w:t>乙方不能按本合同要求提供培训服务的，应向甲方偿付合同总价款的[</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的违约金。如果此等违约造成本合同项下货物的使用目的无法实现的，甲方有权解除合同并主张除违约金以外的损害赔偿。</w:t>
      </w:r>
    </w:p>
    <w:p w14:paraId="4AE4807B">
      <w:pPr>
        <w:spacing w:line="360" w:lineRule="auto"/>
        <w:ind w:firstLine="42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5.</w:t>
      </w:r>
      <w:r>
        <w:rPr>
          <w:rFonts w:hint="eastAsia" w:ascii="宋体"/>
          <w:color w:val="000000" w:themeColor="text1"/>
          <w:highlight w:val="none"/>
          <w14:textFill>
            <w14:solidFill>
              <w14:schemeClr w14:val="tx1"/>
            </w14:solidFill>
          </w14:textFill>
        </w:rPr>
        <w:t>乙方不能按本合同要求提供所承诺的服务人员的，应向甲方偿付合同总价款的[</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的违约金。如果此等违约造成本合同项下货物的使用目的无法实现的，甲方有权解除合同并主张除违约金以外的损害赔偿。</w:t>
      </w:r>
    </w:p>
    <w:p w14:paraId="11125DEF">
      <w:pPr>
        <w:spacing w:line="360" w:lineRule="auto"/>
        <w:ind w:firstLine="42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6.</w:t>
      </w:r>
      <w:r>
        <w:rPr>
          <w:rFonts w:hint="eastAsia" w:ascii="宋体"/>
          <w:color w:val="000000" w:themeColor="text1"/>
          <w:highlight w:val="none"/>
          <w14:textFill>
            <w14:solidFill>
              <w14:schemeClr w14:val="tx1"/>
            </w14:solidFill>
          </w14:textFill>
        </w:rPr>
        <w:t>如果发生声称本合同项下货物侵犯他人专利、版权、商标权、肖像权、名誉权或商业秘密、个人信息等合法权益而针对甲方提起索赔或诉讼仲裁的情况，除下款另有规定外，乙方应支付由此而产生的全部费用及赔偿金。如甲方将第三方提起索赔或诉讼仲裁的情况及时通知了乙方，并且授权乙方独立应诉和解决索赔问题，则乙方将自费应诉，并支付全部费用、和解赔偿金和由于该案最终裁定或判决而支付的赔偿金。如果依照中华人民共和国法律，甲方不能实现授权乙方独立应诉和解决索赔问题，则甲方可以选择独立应诉或与乙方联合应诉，乙方将承担由此而支付的全部费用、和解赔偿金和按最终裁定或判决而需要甲方或乙方支付的赔偿金。如果乙方不积极应诉或解决纠纷，甲方为自身利益有权独立应诉、与第三方做出任何重大决定，包括庭外和解、法庭抗辩，乙方将承担由此而支付的全部费用、和解赔偿金和按最终裁定或判决而需要甲方或乙方支付的赔偿金。</w:t>
      </w:r>
    </w:p>
    <w:p w14:paraId="1165466E">
      <w:pPr>
        <w:spacing w:line="360" w:lineRule="auto"/>
        <w:ind w:firstLine="4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在处理索赔或诉讼仲裁的过程中，乙方应尽力为甲方取得继续使用该货物的权利，或者将该货物替换或修改，以便使该货物不再侵权。如果乙方不能合理地完成这些补救措施，并且甲方必须停止使用侵权的货物，作为不得已的最后手段，乙方应向甲方退还侵权货物的价款和为侵权货物已支付的许可费。对于仅因使用并非由乙方提供的货物，或仅因乙方执行了甲方的设计、规格或指示而导致的与使用本合同项下货物相关的侵权追诉，乙方对甲方不承担任何赔偿责任。</w:t>
      </w:r>
    </w:p>
    <w:p w14:paraId="094A7EF1">
      <w:pPr>
        <w:spacing w:line="360" w:lineRule="auto"/>
        <w:ind w:firstLine="420"/>
        <w:rPr>
          <w:rFonts w:ascii="宋体"/>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7.</w:t>
      </w:r>
      <w:r>
        <w:rPr>
          <w:rFonts w:hint="eastAsia" w:ascii="宋体"/>
          <w:color w:val="000000" w:themeColor="text1"/>
          <w:highlight w:val="none"/>
          <w14:textFill>
            <w14:solidFill>
              <w14:schemeClr w14:val="tx1"/>
            </w14:solidFill>
          </w14:textFill>
        </w:rPr>
        <w:t>如因乙方所交货物质量等问题导致甲方及其员工或第三方人身损害或财产损失的，乙方应支付由此而产生的全部费用及赔偿金。</w:t>
      </w:r>
    </w:p>
    <w:p w14:paraId="11793CA8">
      <w:pPr>
        <w:spacing w:line="360" w:lineRule="auto"/>
        <w:ind w:firstLine="42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由于乙方原因导致甲方无法实现增值税专用发票的正常抵扣，乙方应向甲方另外支付</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倍的增值税额。</w:t>
      </w:r>
    </w:p>
    <w:p w14:paraId="144D2521">
      <w:pPr>
        <w:spacing w:line="360" w:lineRule="auto"/>
        <w:ind w:firstLine="420"/>
        <w:rPr>
          <w:rFonts w:ascii="宋体"/>
          <w:bCs/>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9.</w:t>
      </w:r>
      <w:r>
        <w:rPr>
          <w:rFonts w:hint="eastAsia" w:ascii="宋体"/>
          <w:bCs/>
          <w:color w:val="000000" w:themeColor="text1"/>
          <w:highlight w:val="none"/>
          <w14:textFill>
            <w14:solidFill>
              <w14:schemeClr w14:val="tx1"/>
            </w14:solidFill>
          </w14:textFill>
        </w:rPr>
        <w:t>按本合同规定应该偿付的违约金、赔偿金和各种经济损失，应当在明确责任后[</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]日内付清，逾期按应支付金额的日万分之</w:t>
      </w:r>
      <w:r>
        <w:rPr>
          <w:rFonts w:hint="eastAsia" w:ascii="宋体"/>
          <w:color w:val="000000" w:themeColor="text1"/>
          <w:highlight w:val="none"/>
          <w14:textFill>
            <w14:solidFill>
              <w14:schemeClr w14:val="tx1"/>
            </w14:solidFill>
          </w14:textFill>
        </w:rPr>
        <w:t>[</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计收利息。依据本合同乙方应向甲方支付前述款项的，甲方有权自行从应付合同总价款中扣除充抵。</w:t>
      </w:r>
    </w:p>
    <w:p w14:paraId="4E4839BD">
      <w:pPr>
        <w:spacing w:after="156" w:afterLines="50" w:line="460" w:lineRule="exact"/>
        <w:rPr>
          <w:rFonts w:ascii="宋体"/>
          <w:bCs/>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【第十三条】 制裁合规承诺和违约责任</w:t>
      </w:r>
    </w:p>
    <w:p w14:paraId="47FFBAA2">
      <w:pPr>
        <w:spacing w:after="156" w:afterLines="50" w:line="460" w:lineRule="exact"/>
        <w:ind w:firstLine="480" w:firstLineChars="200"/>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1.乙方承诺未受到联合国、中国或其他甲方认为需适用的制裁发布主体的制裁，也未被前述制裁对象拥有或实际控制。乙方承诺在本协议生效期间，不从事违反联合国、中国和其他甲方认为需适用的制裁规则的活动，不为前述活动提供便利。未免疑义，本条约定不应被视作甲方有向乙方及其他任何第三方提供内部制裁合规政策的义务。</w:t>
      </w:r>
    </w:p>
    <w:p w14:paraId="6D9ED563">
      <w:pPr>
        <w:spacing w:after="156" w:afterLines="50" w:line="460" w:lineRule="exact"/>
        <w:ind w:firstLine="480" w:firstLineChars="200"/>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如乙方在本协议生效期间内受到联合国、中国或其他需适用的制裁发布主体的制裁，或者被前述制裁对象拥有或实际控制；或者乙方在本协议生效期间，从事违反联合国、中国或其他甲方认为需适用的制裁规则的活动，或为前述活动提供便利，或拒绝配合提供反洗钱和制裁合规有关信息或提供虚假、不实信息的，或存在其他违反本协议约定的情形的，甲方有权中止或终止履行本协议，并保留追究相关方责任的权利。</w:t>
      </w:r>
    </w:p>
    <w:p w14:paraId="3D87CB4E">
      <w:pPr>
        <w:spacing w:line="360" w:lineRule="auto"/>
        <w:ind w:firstLine="420"/>
        <w:rPr>
          <w:rFonts w:ascii="宋体"/>
          <w:bCs/>
          <w:color w:val="000000" w:themeColor="text1"/>
          <w:highlight w:val="none"/>
          <w14:textFill>
            <w14:solidFill>
              <w14:schemeClr w14:val="tx1"/>
            </w14:solidFill>
          </w14:textFill>
        </w:rPr>
      </w:pPr>
    </w:p>
    <w:p w14:paraId="62BF106A">
      <w:pPr>
        <w:spacing w:line="520" w:lineRule="exact"/>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【第十四条】</w:t>
      </w:r>
      <w:r>
        <w:rPr>
          <w:rFonts w:hint="eastAsia" w:ascii="宋体" w:hAnsi="宋体"/>
          <w:b/>
          <w:color w:val="000000" w:themeColor="text1"/>
          <w:szCs w:val="21"/>
          <w:highlight w:val="none"/>
          <w14:textFill>
            <w14:solidFill>
              <w14:schemeClr w14:val="tx1"/>
            </w14:solidFill>
          </w14:textFill>
        </w:rPr>
        <w:t>履约保证金</w:t>
      </w:r>
      <w:r>
        <w:rPr>
          <w:rFonts w:hint="eastAsia" w:ascii="宋体" w:hAnsi="宋体"/>
          <w:color w:val="000000" w:themeColor="text1"/>
          <w:szCs w:val="21"/>
          <w:highlight w:val="none"/>
          <w14:textFill>
            <w14:solidFill>
              <w14:schemeClr w14:val="tx1"/>
            </w14:solidFill>
          </w14:textFill>
        </w:rPr>
        <w:t>[</w:t>
      </w:r>
      <w:r>
        <w:rPr>
          <w:rFonts w:hint="eastAsia" w:ascii="宋体" w:hAnsi="宋体"/>
          <w:i/>
          <w:color w:val="000000" w:themeColor="text1"/>
          <w:szCs w:val="21"/>
          <w:highlight w:val="none"/>
          <w14:textFill>
            <w14:solidFill>
              <w14:schemeClr w14:val="tx1"/>
            </w14:solidFill>
          </w14:textFill>
        </w:rPr>
        <w:t>使用说明：请根据实际情况决定是否适用履约保证金条款</w:t>
      </w:r>
      <w:r>
        <w:rPr>
          <w:rFonts w:hint="eastAsia" w:ascii="宋体" w:hAnsi="宋体"/>
          <w:color w:val="000000" w:themeColor="text1"/>
          <w:szCs w:val="21"/>
          <w:highlight w:val="none"/>
          <w14:textFill>
            <w14:solidFill>
              <w14:schemeClr w14:val="tx1"/>
            </w14:solidFill>
          </w14:textFill>
        </w:rPr>
        <w:t>]</w:t>
      </w:r>
    </w:p>
    <w:p w14:paraId="4C392AF7">
      <w:pPr>
        <w:tabs>
          <w:tab w:val="left" w:pos="1365"/>
        </w:tabs>
        <w:spacing w:line="360" w:lineRule="auto"/>
        <w:ind w:firstLine="48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乙方在本合同生效后</w:t>
      </w:r>
      <w:r>
        <w:rPr>
          <w:rFonts w:hint="eastAsia" w:ascii="宋体"/>
          <w:color w:val="000000" w:themeColor="text1"/>
          <w:highlight w:val="none"/>
          <w14:textFill>
            <w14:solidFill>
              <w14:schemeClr w14:val="tx1"/>
            </w14:solidFill>
          </w14:textFill>
        </w:rPr>
        <w:t>[</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]个工作日</w:t>
      </w:r>
      <w:r>
        <w:rPr>
          <w:rFonts w:hint="eastAsia" w:ascii="宋体" w:hAnsi="宋体" w:cs="Arial"/>
          <w:color w:val="000000" w:themeColor="text1"/>
          <w:szCs w:val="21"/>
          <w:highlight w:val="none"/>
          <w14:textFill>
            <w14:solidFill>
              <w14:schemeClr w14:val="tx1"/>
            </w14:solidFill>
          </w14:textFill>
        </w:rPr>
        <w:t xml:space="preserve"> [</w:t>
      </w:r>
      <w:r>
        <w:rPr>
          <w:rFonts w:hint="eastAsia" w:ascii="宋体" w:hAnsi="宋体" w:cs="Arial"/>
          <w:i/>
          <w:color w:val="000000" w:themeColor="text1"/>
          <w:szCs w:val="21"/>
          <w:highlight w:val="none"/>
          <w:u w:val="single"/>
          <w14:textFill>
            <w14:solidFill>
              <w14:schemeClr w14:val="tx1"/>
            </w14:solidFill>
          </w14:textFill>
        </w:rPr>
        <w:t>使用说明： 请根据实际情况填写乙方提交履约保证金的时限]</w:t>
      </w:r>
      <w:r>
        <w:rPr>
          <w:rFonts w:hint="eastAsia" w:ascii="宋体" w:hAnsi="宋体" w:cs="Arial"/>
          <w:color w:val="000000" w:themeColor="text1"/>
          <w:szCs w:val="21"/>
          <w:highlight w:val="none"/>
          <w14:textFill>
            <w14:solidFill>
              <w14:schemeClr w14:val="tx1"/>
            </w14:solidFill>
          </w14:textFill>
        </w:rPr>
        <w:t>内向甲方提交合同总价款的[</w:t>
      </w:r>
      <w:r>
        <w:rPr>
          <w:rFonts w:hint="eastAsia"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]%作为履约保证金。履约保证金用于补偿甲方因乙方不能完成其合同义务而蒙受的损失。乙方不按上述约定提交履约保证金的，甲方有权单方解除合同，由此给甲方造成的损失由乙方负责赔偿。</w:t>
      </w:r>
    </w:p>
    <w:p w14:paraId="6A1317F7">
      <w:pPr>
        <w:tabs>
          <w:tab w:val="left" w:pos="1365"/>
        </w:tabs>
        <w:spacing w:line="360" w:lineRule="auto"/>
        <w:ind w:firstLine="48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履约保证金以银行保函或不可撤销的信用证的方式提交，由甲方可接受的银行开出。[</w:t>
      </w:r>
      <w:r>
        <w:rPr>
          <w:rFonts w:hint="eastAsia" w:ascii="宋体" w:hAnsi="宋体" w:cs="Arial"/>
          <w:i/>
          <w:color w:val="000000" w:themeColor="text1"/>
          <w:szCs w:val="21"/>
          <w:highlight w:val="none"/>
          <w14:textFill>
            <w14:solidFill>
              <w14:schemeClr w14:val="tx1"/>
            </w14:solidFill>
          </w14:textFill>
        </w:rPr>
        <w:t>使用说明：本合同中规定的提交履约保证金的时限、履约保证金的金额、形式等均应与投标人须知的相关规定保持一致。</w:t>
      </w:r>
      <w:r>
        <w:rPr>
          <w:rFonts w:hint="eastAsia" w:ascii="宋体" w:hAnsi="宋体" w:cs="Arial"/>
          <w:color w:val="000000" w:themeColor="text1"/>
          <w:szCs w:val="21"/>
          <w:highlight w:val="none"/>
          <w14:textFill>
            <w14:solidFill>
              <w14:schemeClr w14:val="tx1"/>
            </w14:solidFill>
          </w14:textFill>
        </w:rPr>
        <w:t>]</w:t>
      </w:r>
    </w:p>
    <w:p w14:paraId="64D5F9D5">
      <w:pPr>
        <w:spacing w:line="360" w:lineRule="auto"/>
        <w:ind w:firstLine="480" w:firstLineChars="200"/>
        <w:rPr>
          <w:rFonts w:ascii="宋体"/>
          <w:b/>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在乙方完成全部合同义务后[</w:t>
      </w:r>
      <w:r>
        <w:rPr>
          <w:rFonts w:hint="eastAsia"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]日内，甲方将履约保证金无息退还乙方。</w:t>
      </w:r>
    </w:p>
    <w:p w14:paraId="63E3040F">
      <w:pPr>
        <w:autoSpaceDE w:val="0"/>
        <w:autoSpaceDN w:val="0"/>
        <w:adjustRightInd w:val="0"/>
        <w:spacing w:line="360" w:lineRule="auto"/>
        <w:jc w:val="left"/>
        <w:rPr>
          <w:rFonts w:ascii="宋体" w:hAnsi="宋体" w:cs="HiddenHorzOCR"/>
          <w:b/>
          <w:color w:val="000000" w:themeColor="text1"/>
          <w:kern w:val="0"/>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【第十五条】</w:t>
      </w:r>
      <w:r>
        <w:rPr>
          <w:rFonts w:hint="eastAsia" w:ascii="宋体" w:hAnsi="宋体" w:cs="HiddenHorzOCR"/>
          <w:b/>
          <w:color w:val="000000" w:themeColor="text1"/>
          <w:kern w:val="0"/>
          <w:szCs w:val="21"/>
          <w:highlight w:val="none"/>
          <w14:textFill>
            <w14:solidFill>
              <w14:schemeClr w14:val="tx1"/>
            </w14:solidFill>
          </w14:textFill>
        </w:rPr>
        <w:t xml:space="preserve"> 双方补充约定的其他事项</w:t>
      </w:r>
    </w:p>
    <w:p w14:paraId="210D8BBE">
      <w:pPr>
        <w:autoSpaceDE w:val="0"/>
        <w:autoSpaceDN w:val="0"/>
        <w:adjustRightInd w:val="0"/>
        <w:spacing w:line="360" w:lineRule="auto"/>
        <w:jc w:val="left"/>
        <w:rPr>
          <w:rFonts w:ascii="宋体" w:hAnsi="宋体" w:cs="HiddenHorzOCR"/>
          <w:color w:val="000000" w:themeColor="text1"/>
          <w:kern w:val="0"/>
          <w:szCs w:val="21"/>
          <w:highlight w:val="none"/>
          <w:u w:val="single"/>
          <w14:textFill>
            <w14:solidFill>
              <w14:schemeClr w14:val="tx1"/>
            </w14:solidFill>
          </w14:textFill>
        </w:rPr>
      </w:pPr>
      <w:r>
        <w:rPr>
          <w:rFonts w:hint="eastAsia" w:ascii="宋体" w:hAnsi="宋体" w:cs="HiddenHorzOCR"/>
          <w:color w:val="000000" w:themeColor="text1"/>
          <w:kern w:val="0"/>
          <w:szCs w:val="21"/>
          <w:highlight w:val="none"/>
          <w:u w:val="single"/>
          <w14:textFill>
            <w14:solidFill>
              <w14:schemeClr w14:val="tx1"/>
            </w14:solidFill>
          </w14:textFill>
        </w:rPr>
        <w:t xml:space="preserve">                                                                     </w:t>
      </w:r>
    </w:p>
    <w:p w14:paraId="3AE3A96D">
      <w:pPr>
        <w:autoSpaceDE w:val="0"/>
        <w:autoSpaceDN w:val="0"/>
        <w:adjustRightInd w:val="0"/>
        <w:spacing w:line="360" w:lineRule="auto"/>
        <w:jc w:val="left"/>
        <w:rPr>
          <w:rFonts w:ascii="宋体" w:hAnsi="宋体" w:cs="HiddenHorzOCR"/>
          <w:color w:val="000000" w:themeColor="text1"/>
          <w:kern w:val="0"/>
          <w:szCs w:val="21"/>
          <w:highlight w:val="none"/>
          <w:u w:val="single"/>
          <w14:textFill>
            <w14:solidFill>
              <w14:schemeClr w14:val="tx1"/>
            </w14:solidFill>
          </w14:textFill>
        </w:rPr>
      </w:pPr>
      <w:r>
        <w:rPr>
          <w:rFonts w:hint="eastAsia" w:ascii="宋体" w:hAnsi="宋体" w:cs="HiddenHorzOCR"/>
          <w:color w:val="000000" w:themeColor="text1"/>
          <w:kern w:val="0"/>
          <w:szCs w:val="21"/>
          <w:highlight w:val="none"/>
          <w:u w:val="single"/>
          <w14:textFill>
            <w14:solidFill>
              <w14:schemeClr w14:val="tx1"/>
            </w14:solidFill>
          </w14:textFill>
        </w:rPr>
        <w:t xml:space="preserve">                                                                     </w:t>
      </w:r>
    </w:p>
    <w:p w14:paraId="62F5AA41">
      <w:pPr>
        <w:autoSpaceDE w:val="0"/>
        <w:autoSpaceDN w:val="0"/>
        <w:adjustRightInd w:val="0"/>
        <w:spacing w:line="360" w:lineRule="auto"/>
        <w:jc w:val="left"/>
        <w:rPr>
          <w:rFonts w:ascii="宋体" w:hAnsi="宋体" w:cs="HiddenHorzOCR"/>
          <w:color w:val="000000" w:themeColor="text1"/>
          <w:kern w:val="0"/>
          <w:szCs w:val="21"/>
          <w:highlight w:val="none"/>
          <w:u w:val="single"/>
          <w14:textFill>
            <w14:solidFill>
              <w14:schemeClr w14:val="tx1"/>
            </w14:solidFill>
          </w14:textFill>
        </w:rPr>
      </w:pPr>
      <w:r>
        <w:rPr>
          <w:rFonts w:hint="eastAsia" w:ascii="宋体" w:hAnsi="宋体" w:cs="HiddenHorzOCR"/>
          <w:color w:val="000000" w:themeColor="text1"/>
          <w:kern w:val="0"/>
          <w:szCs w:val="21"/>
          <w:highlight w:val="none"/>
          <w:u w:val="single"/>
          <w14:textFill>
            <w14:solidFill>
              <w14:schemeClr w14:val="tx1"/>
            </w14:solidFill>
          </w14:textFill>
        </w:rPr>
        <w:t xml:space="preserve">                                                                     </w:t>
      </w:r>
    </w:p>
    <w:p w14:paraId="7FD8F505">
      <w:pPr>
        <w:autoSpaceDE w:val="0"/>
        <w:autoSpaceDN w:val="0"/>
        <w:adjustRightInd w:val="0"/>
        <w:spacing w:line="360" w:lineRule="auto"/>
        <w:jc w:val="left"/>
        <w:rPr>
          <w:rFonts w:ascii="宋体" w:hAnsi="宋体" w:cs="HiddenHorzOCR"/>
          <w:color w:val="000000" w:themeColor="text1"/>
          <w:kern w:val="0"/>
          <w:szCs w:val="21"/>
          <w:highlight w:val="none"/>
          <w:u w:val="single"/>
          <w14:textFill>
            <w14:solidFill>
              <w14:schemeClr w14:val="tx1"/>
            </w14:solidFill>
          </w14:textFill>
        </w:rPr>
      </w:pPr>
      <w:r>
        <w:rPr>
          <w:rFonts w:hint="eastAsia" w:ascii="宋体" w:hAnsi="宋体" w:cs="HiddenHorzOCR"/>
          <w:color w:val="000000" w:themeColor="text1"/>
          <w:kern w:val="0"/>
          <w:szCs w:val="21"/>
          <w:highlight w:val="none"/>
          <w:u w:val="single"/>
          <w14:textFill>
            <w14:solidFill>
              <w14:schemeClr w14:val="tx1"/>
            </w14:solidFill>
          </w14:textFill>
        </w:rPr>
        <w:t xml:space="preserve">                                                                     </w:t>
      </w:r>
    </w:p>
    <w:p w14:paraId="224E5C7B">
      <w:pPr>
        <w:autoSpaceDE w:val="0"/>
        <w:autoSpaceDN w:val="0"/>
        <w:adjustRightInd w:val="0"/>
        <w:spacing w:line="360" w:lineRule="auto"/>
        <w:jc w:val="left"/>
        <w:rPr>
          <w:rFonts w:ascii="宋体" w:hAnsi="宋体" w:cs="HiddenHorzOCR"/>
          <w:b/>
          <w:color w:val="000000" w:themeColor="text1"/>
          <w:kern w:val="0"/>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【第十六条】</w:t>
      </w:r>
      <w:r>
        <w:rPr>
          <w:rFonts w:hint="eastAsia" w:ascii="宋体" w:hAnsi="宋体" w:cs="HiddenHorzOCR"/>
          <w:b/>
          <w:color w:val="000000" w:themeColor="text1"/>
          <w:kern w:val="0"/>
          <w:szCs w:val="21"/>
          <w:highlight w:val="none"/>
          <w14:textFill>
            <w14:solidFill>
              <w14:schemeClr w14:val="tx1"/>
            </w14:solidFill>
          </w14:textFill>
        </w:rPr>
        <w:t xml:space="preserve"> 法律适用与争议的解决</w:t>
      </w:r>
    </w:p>
    <w:p w14:paraId="2DB22EA1">
      <w:pPr>
        <w:spacing w:line="460" w:lineRule="exact"/>
        <w:ind w:firstLine="60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1.本合同适用中国法律（为本合同之目的，不包括中国香港特别行政区、澳门特别行政区、台湾地区法律）。</w:t>
      </w:r>
    </w:p>
    <w:p w14:paraId="2A36ACF9">
      <w:pPr>
        <w:spacing w:line="460" w:lineRule="exact"/>
        <w:ind w:firstLine="600"/>
        <w:rPr>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2.除当事人另有约定外，在合同生效后，因订立、履行本合同所发生的或与本合同有关的任何争议，双方可协商解决。协商不成的，任何一方可以采取下列第</w:t>
      </w:r>
      <w:r>
        <w:rPr>
          <w:rFonts w:ascii="仿宋" w:hAnsi="仿宋" w:eastAsia="仿宋"/>
          <w:b w:val="0"/>
          <w:bCs w:val="0"/>
          <w:color w:val="000000" w:themeColor="text1"/>
          <w:szCs w:val="21"/>
          <w:highlight w:val="none"/>
          <w:u w:val="single"/>
          <w14:textFill>
            <w14:solidFill>
              <w14:schemeClr w14:val="tx1"/>
            </w14:solidFill>
          </w14:textFill>
        </w:rPr>
        <w:t xml:space="preserve"> </w:t>
      </w:r>
      <w:r>
        <w:rPr>
          <w:rFonts w:hint="eastAsia" w:ascii="仿宋" w:hAnsi="仿宋" w:eastAsia="仿宋"/>
          <w:b w:val="0"/>
          <w:bCs w:val="0"/>
          <w:color w:val="000000" w:themeColor="text1"/>
          <w:szCs w:val="21"/>
          <w:highlight w:val="none"/>
          <w:u w:val="single"/>
          <w14:textFill>
            <w14:solidFill>
              <w14:schemeClr w14:val="tx1"/>
            </w14:solidFill>
          </w14:textFill>
        </w:rPr>
        <w:t xml:space="preserve">    </w:t>
      </w:r>
      <w:r>
        <w:rPr>
          <w:rFonts w:hint="eastAsia" w:ascii="等线" w:hAnsi="等线"/>
          <w:b w:val="0"/>
          <w:bCs w:val="0"/>
          <w:color w:val="000000" w:themeColor="text1"/>
          <w:szCs w:val="21"/>
          <w:highlight w:val="none"/>
          <w14:textFill>
            <w14:solidFill>
              <w14:schemeClr w14:val="tx1"/>
            </w14:solidFill>
          </w14:textFill>
        </w:rPr>
        <w:t>种方式加以解决：</w:t>
      </w:r>
    </w:p>
    <w:p w14:paraId="5E1047B1">
      <w:pPr>
        <w:spacing w:line="460" w:lineRule="exact"/>
        <w:ind w:firstLine="56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（1）仲裁。提交</w:t>
      </w:r>
    </w:p>
    <w:p w14:paraId="5D97F49E">
      <w:pPr>
        <w:spacing w:line="460" w:lineRule="exact"/>
        <w:ind w:firstLine="56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 中国国际经济贸易仲裁委员会</w:t>
      </w:r>
    </w:p>
    <w:p w14:paraId="3058E345">
      <w:pPr>
        <w:spacing w:line="460" w:lineRule="exact"/>
        <w:ind w:firstLine="56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 北京仲裁委员会（北京国际仲裁中心）</w:t>
      </w:r>
    </w:p>
    <w:p w14:paraId="28CCDC4E">
      <w:pPr>
        <w:spacing w:line="460" w:lineRule="exact"/>
        <w:ind w:firstLine="56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 xml:space="preserve">□ </w:t>
      </w:r>
      <w:r>
        <w:rPr>
          <w:rFonts w:hint="eastAsia" w:ascii="仿宋" w:hAnsi="仿宋" w:eastAsia="仿宋"/>
          <w:b w:val="0"/>
          <w:bCs w:val="0"/>
          <w:color w:val="000000" w:themeColor="text1"/>
          <w:szCs w:val="21"/>
          <w:highlight w:val="none"/>
          <w:u w:val="single"/>
          <w14:textFill>
            <w14:solidFill>
              <w14:schemeClr w14:val="tx1"/>
            </w14:solidFill>
          </w14:textFill>
        </w:rPr>
        <w:t xml:space="preserve">   </w:t>
      </w:r>
      <w:r>
        <w:rPr>
          <w:rFonts w:ascii="仿宋" w:hAnsi="仿宋" w:eastAsia="仿宋"/>
          <w:b w:val="0"/>
          <w:bCs w:val="0"/>
          <w:color w:val="000000" w:themeColor="text1"/>
          <w:szCs w:val="21"/>
          <w:highlight w:val="none"/>
          <w:u w:val="single"/>
          <w14:textFill>
            <w14:solidFill>
              <w14:schemeClr w14:val="tx1"/>
            </w14:solidFill>
          </w14:textFill>
        </w:rPr>
        <w:t xml:space="preserve">        </w:t>
      </w:r>
      <w:r>
        <w:rPr>
          <w:rFonts w:hint="eastAsia" w:ascii="等线" w:hAnsi="等线"/>
          <w:b w:val="0"/>
          <w:bCs w:val="0"/>
          <w:color w:val="000000" w:themeColor="text1"/>
          <w:szCs w:val="21"/>
          <w:highlight w:val="none"/>
          <w14:textFill>
            <w14:solidFill>
              <w14:schemeClr w14:val="tx1"/>
            </w14:solidFill>
          </w14:textFill>
        </w:rPr>
        <w:t>仲裁委员会</w:t>
      </w:r>
    </w:p>
    <w:p w14:paraId="75BCAFFF">
      <w:pPr>
        <w:spacing w:line="460" w:lineRule="exact"/>
        <w:ind w:firstLine="56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按照申请仲裁时该委员会现行有效的仲裁规则进行仲裁，在</w:t>
      </w:r>
      <w:r>
        <w:rPr>
          <w:rFonts w:hint="eastAsia" w:ascii="仿宋" w:hAnsi="仿宋" w:eastAsia="仿宋"/>
          <w:b w:val="0"/>
          <w:bCs w:val="0"/>
          <w:color w:val="000000" w:themeColor="text1"/>
          <w:szCs w:val="21"/>
          <w:highlight w:val="none"/>
          <w:u w:val="single"/>
          <w14:textFill>
            <w14:solidFill>
              <w14:schemeClr w14:val="tx1"/>
            </w14:solidFill>
          </w14:textFill>
        </w:rPr>
        <w:t xml:space="preserve">   </w:t>
      </w:r>
      <w:r>
        <w:rPr>
          <w:rFonts w:hint="eastAsia" w:ascii="等线" w:hAnsi="等线"/>
          <w:b w:val="0"/>
          <w:bCs w:val="0"/>
          <w:color w:val="000000" w:themeColor="text1"/>
          <w:szCs w:val="21"/>
          <w:highlight w:val="none"/>
          <w14:textFill>
            <w14:solidFill>
              <w14:schemeClr w14:val="tx1"/>
            </w14:solidFill>
          </w14:textFill>
        </w:rPr>
        <w:t xml:space="preserve">       ＿＿＿（仲裁地点）进行仲裁。仲裁裁决是终局的，对各方均有约束力。</w:t>
      </w:r>
    </w:p>
    <w:p w14:paraId="506A97E7">
      <w:pPr>
        <w:spacing w:line="460" w:lineRule="exact"/>
        <w:ind w:firstLine="56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（2）诉讼。当事人可协商选择中国法院通过诉讼方式予以解决。</w:t>
      </w:r>
    </w:p>
    <w:p w14:paraId="10C8AFCE">
      <w:pPr>
        <w:spacing w:line="460" w:lineRule="exact"/>
        <w:ind w:firstLine="56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 依法向甲方或者依照本合同行使权利义务的中国银行股份有限公司青海省分行其他机构住所地的人民法院起诉。</w:t>
      </w:r>
    </w:p>
    <w:p w14:paraId="282BFCC4">
      <w:pPr>
        <w:spacing w:line="460" w:lineRule="exact"/>
        <w:ind w:firstLine="560"/>
        <w:rPr>
          <w:rFonts w:ascii="等线" w:hAnsi="等线"/>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 依法向有管辖权的人民法院起诉。</w:t>
      </w:r>
    </w:p>
    <w:p w14:paraId="298E1734">
      <w:pPr>
        <w:spacing w:line="460" w:lineRule="exact"/>
        <w:ind w:firstLine="560"/>
        <w:rPr>
          <w:rFonts w:ascii="宋体" w:hAnsi="Arial"/>
          <w:b w:val="0"/>
          <w:bCs w:val="0"/>
          <w:color w:val="000000" w:themeColor="text1"/>
          <w:szCs w:val="21"/>
          <w:highlight w:val="none"/>
          <w14:textFill>
            <w14:solidFill>
              <w14:schemeClr w14:val="tx1"/>
            </w14:solidFill>
          </w14:textFill>
        </w:rPr>
      </w:pPr>
      <w:r>
        <w:rPr>
          <w:rFonts w:hint="eastAsia" w:ascii="等线" w:hAnsi="等线"/>
          <w:b w:val="0"/>
          <w:bCs w:val="0"/>
          <w:color w:val="000000" w:themeColor="text1"/>
          <w:szCs w:val="21"/>
          <w:highlight w:val="none"/>
          <w14:textFill>
            <w14:solidFill>
              <w14:schemeClr w14:val="tx1"/>
            </w14:solidFill>
          </w14:textFill>
        </w:rPr>
        <w:tab/>
      </w:r>
      <w:r>
        <w:rPr>
          <w:rFonts w:hint="eastAsia" w:ascii="等线" w:hAnsi="等线"/>
          <w:b w:val="0"/>
          <w:bCs w:val="0"/>
          <w:color w:val="000000" w:themeColor="text1"/>
          <w:szCs w:val="21"/>
          <w:highlight w:val="none"/>
          <w14:textFill>
            <w14:solidFill>
              <w14:schemeClr w14:val="tx1"/>
            </w14:solidFill>
          </w14:textFill>
        </w:rPr>
        <w:t>在争议解决期间，若该争议不影响本合同其他条款的履行，则该其他条款应继续履行。</w:t>
      </w:r>
    </w:p>
    <w:p w14:paraId="2AFB6B48">
      <w:pPr>
        <w:autoSpaceDE w:val="0"/>
        <w:autoSpaceDN w:val="0"/>
        <w:adjustRightInd w:val="0"/>
        <w:spacing w:line="360" w:lineRule="auto"/>
        <w:jc w:val="left"/>
        <w:rPr>
          <w:rFonts w:ascii="宋体" w:hAnsi="宋体" w:cs="HiddenHorzOCR"/>
          <w:b/>
          <w:color w:val="000000" w:themeColor="text1"/>
          <w:kern w:val="0"/>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【第十七条】</w:t>
      </w:r>
      <w:r>
        <w:rPr>
          <w:rFonts w:hint="eastAsia" w:ascii="宋体" w:hAnsi="宋体" w:cs="HiddenHorzOCR"/>
          <w:b/>
          <w:color w:val="000000" w:themeColor="text1"/>
          <w:kern w:val="0"/>
          <w:szCs w:val="21"/>
          <w:highlight w:val="none"/>
          <w14:textFill>
            <w14:solidFill>
              <w14:schemeClr w14:val="tx1"/>
            </w14:solidFill>
          </w14:textFill>
        </w:rPr>
        <w:t xml:space="preserve">  合同的生效、变更及合同份数</w:t>
      </w:r>
    </w:p>
    <w:p w14:paraId="52ED4FAC">
      <w:pPr>
        <w:spacing w:line="360" w:lineRule="auto"/>
        <w:ind w:firstLine="482" w:firstLineChars="200"/>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b/>
          <w:color w:val="000000" w:themeColor="text1"/>
          <w:kern w:val="0"/>
          <w:szCs w:val="21"/>
          <w:highlight w:val="none"/>
          <w14:textFill>
            <w14:solidFill>
              <w14:schemeClr w14:val="tx1"/>
            </w14:solidFill>
          </w14:textFill>
        </w:rPr>
        <w:t>1.</w:t>
      </w:r>
      <w:r>
        <w:rPr>
          <w:rFonts w:hint="eastAsia" w:ascii="宋体"/>
          <w:color w:val="000000" w:themeColor="text1"/>
          <w:highlight w:val="none"/>
          <w14:textFill>
            <w14:solidFill>
              <w14:schemeClr w14:val="tx1"/>
            </w14:solidFill>
          </w14:textFill>
        </w:rPr>
        <w:t>本合同自双方法定代表人或者授权签字人签字并加盖公章之日起生效。</w:t>
      </w:r>
    </w:p>
    <w:p w14:paraId="2FA66C45">
      <w:pPr>
        <w:spacing w:line="360" w:lineRule="auto"/>
        <w:ind w:firstLine="482" w:firstLineChars="200"/>
        <w:rPr>
          <w:rFonts w:ascii="宋体"/>
          <w:color w:val="000000" w:themeColor="text1"/>
          <w:highlight w:val="none"/>
          <w14:textFill>
            <w14:solidFill>
              <w14:schemeClr w14:val="tx1"/>
            </w14:solidFill>
          </w14:textFill>
        </w:rPr>
      </w:pPr>
      <w:r>
        <w:rPr>
          <w:rFonts w:hint="eastAsia" w:ascii="宋体" w:hAnsi="宋体" w:cs="HiddenHorzOCR"/>
          <w:b/>
          <w:color w:val="000000" w:themeColor="text1"/>
          <w:kern w:val="0"/>
          <w:szCs w:val="21"/>
          <w:highlight w:val="none"/>
          <w14:textFill>
            <w14:solidFill>
              <w14:schemeClr w14:val="tx1"/>
            </w14:solidFill>
          </w14:textFill>
        </w:rPr>
        <w:t>2.</w:t>
      </w:r>
      <w:r>
        <w:rPr>
          <w:rFonts w:hint="eastAsia" w:ascii="宋体" w:hAnsi="宋体" w:cs="HiddenHorzOCR"/>
          <w:color w:val="000000" w:themeColor="text1"/>
          <w:kern w:val="0"/>
          <w:szCs w:val="21"/>
          <w:highlight w:val="none"/>
          <w14:textFill>
            <w14:solidFill>
              <w14:schemeClr w14:val="tx1"/>
            </w14:solidFill>
          </w14:textFill>
        </w:rPr>
        <w:t>本</w:t>
      </w:r>
      <w:r>
        <w:rPr>
          <w:rFonts w:hint="eastAsia" w:ascii="宋体"/>
          <w:color w:val="000000" w:themeColor="text1"/>
          <w:highlight w:val="none"/>
          <w14:textFill>
            <w14:solidFill>
              <w14:schemeClr w14:val="tx1"/>
            </w14:solidFill>
          </w14:textFill>
        </w:rPr>
        <w:t>合同履行期内，甲乙双方均不得随意变更或解除合同。未尽事宜，由双方共同协商达成补充协议解决。补充协议与本合同不一致的，以补充协议为准。</w:t>
      </w:r>
    </w:p>
    <w:p w14:paraId="50486719">
      <w:pPr>
        <w:autoSpaceDE w:val="0"/>
        <w:autoSpaceDN w:val="0"/>
        <w:adjustRightInd w:val="0"/>
        <w:spacing w:line="360" w:lineRule="auto"/>
        <w:ind w:firstLine="482" w:firstLineChars="200"/>
        <w:jc w:val="left"/>
        <w:rPr>
          <w:rFonts w:ascii="宋体" w:hAnsi="宋体" w:cs="HiddenHorzOCR"/>
          <w:color w:val="000000" w:themeColor="text1"/>
          <w:kern w:val="0"/>
          <w:szCs w:val="21"/>
          <w:highlight w:val="none"/>
          <w14:textFill>
            <w14:solidFill>
              <w14:schemeClr w14:val="tx1"/>
            </w14:solidFill>
          </w14:textFill>
        </w:rPr>
      </w:pPr>
      <w:r>
        <w:rPr>
          <w:rFonts w:hint="eastAsia" w:ascii="宋体" w:hAnsi="宋体" w:cs="HiddenHorzOCR"/>
          <w:b/>
          <w:color w:val="000000" w:themeColor="text1"/>
          <w:kern w:val="0"/>
          <w:szCs w:val="21"/>
          <w:highlight w:val="none"/>
          <w14:textFill>
            <w14:solidFill>
              <w14:schemeClr w14:val="tx1"/>
            </w14:solidFill>
          </w14:textFill>
        </w:rPr>
        <w:t>3.</w:t>
      </w:r>
      <w:r>
        <w:rPr>
          <w:rFonts w:hint="eastAsia" w:ascii="Arial" w:hAnsi="Arial"/>
          <w:color w:val="000000" w:themeColor="text1"/>
          <w:highlight w:val="none"/>
          <w14:textFill>
            <w14:solidFill>
              <w14:schemeClr w14:val="tx1"/>
            </w14:solidFill>
          </w14:textFill>
        </w:rPr>
        <w:t>本合同共[</w:t>
      </w:r>
      <w:r>
        <w:rPr>
          <w:rFonts w:ascii="Arial" w:hAnsi="Arial"/>
          <w:color w:val="000000" w:themeColor="text1"/>
          <w:highlight w:val="none"/>
          <w:u w:val="single"/>
          <w14:textFill>
            <w14:solidFill>
              <w14:schemeClr w14:val="tx1"/>
            </w14:solidFill>
          </w14:textFill>
        </w:rPr>
        <w:t xml:space="preserve"> </w:t>
      </w:r>
      <w:r>
        <w:rPr>
          <w:rFonts w:hint="eastAsia" w:ascii="Arial" w:hAnsi="Arial"/>
          <w:color w:val="000000" w:themeColor="text1"/>
          <w:highlight w:val="none"/>
          <w:u w:val="single"/>
          <w14:textFill>
            <w14:solidFill>
              <w14:schemeClr w14:val="tx1"/>
            </w14:solidFill>
          </w14:textFill>
        </w:rPr>
        <w:t xml:space="preserve"> </w:t>
      </w:r>
      <w:r>
        <w:rPr>
          <w:rFonts w:hint="eastAsia" w:ascii="Arial" w:hAnsi="Arial"/>
          <w:color w:val="000000" w:themeColor="text1"/>
          <w:highlight w:val="none"/>
          <w14:textFill>
            <w14:solidFill>
              <w14:schemeClr w14:val="tx1"/>
            </w14:solidFill>
          </w14:textFill>
        </w:rPr>
        <w:t>]页，一式[</w:t>
      </w:r>
      <w:r>
        <w:rPr>
          <w:rFonts w:ascii="Arial" w:hAnsi="Arial"/>
          <w:color w:val="000000" w:themeColor="text1"/>
          <w:highlight w:val="none"/>
          <w:u w:val="single"/>
          <w14:textFill>
            <w14:solidFill>
              <w14:schemeClr w14:val="tx1"/>
            </w14:solidFill>
          </w14:textFill>
        </w:rPr>
        <w:t xml:space="preserve">  </w:t>
      </w:r>
      <w:r>
        <w:rPr>
          <w:rFonts w:hint="eastAsia" w:ascii="Arial" w:hAnsi="Arial"/>
          <w:color w:val="000000" w:themeColor="text1"/>
          <w:highlight w:val="none"/>
          <w14:textFill>
            <w14:solidFill>
              <w14:schemeClr w14:val="tx1"/>
            </w14:solidFill>
          </w14:textFill>
        </w:rPr>
        <w:t>]份。甲乙双方各执[</w:t>
      </w:r>
      <w:r>
        <w:rPr>
          <w:rFonts w:hint="eastAsia" w:ascii="Arial" w:hAnsi="Arial"/>
          <w:color w:val="000000" w:themeColor="text1"/>
          <w:highlight w:val="none"/>
          <w:u w:val="single"/>
          <w14:textFill>
            <w14:solidFill>
              <w14:schemeClr w14:val="tx1"/>
            </w14:solidFill>
          </w14:textFill>
        </w:rPr>
        <w:t xml:space="preserve">  </w:t>
      </w:r>
      <w:r>
        <w:rPr>
          <w:rFonts w:hint="eastAsia" w:ascii="Arial" w:hAnsi="Arial"/>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份</w:t>
      </w:r>
      <w:r>
        <w:rPr>
          <w:rFonts w:hint="eastAsia" w:ascii="Arial" w:hAnsi="Arial"/>
          <w:color w:val="000000" w:themeColor="text1"/>
          <w:highlight w:val="none"/>
          <w14:textFill>
            <w14:solidFill>
              <w14:schemeClr w14:val="tx1"/>
            </w14:solidFill>
          </w14:textFill>
        </w:rPr>
        <w:t>。附件为主合同的一部分，具有同等法律效力。附件与主合同内容不一致的，以[</w:t>
      </w:r>
      <w:r>
        <w:rPr>
          <w:rFonts w:hint="eastAsia" w:ascii="Arial" w:hAnsi="Arial"/>
          <w:color w:val="000000" w:themeColor="text1"/>
          <w:highlight w:val="none"/>
          <w:u w:val="single"/>
          <w14:textFill>
            <w14:solidFill>
              <w14:schemeClr w14:val="tx1"/>
            </w14:solidFill>
          </w14:textFill>
        </w:rPr>
        <w:t xml:space="preserve">    </w:t>
      </w:r>
      <w:r>
        <w:rPr>
          <w:rFonts w:hint="eastAsia" w:ascii="Arial" w:hAnsi="Arial"/>
          <w:color w:val="000000" w:themeColor="text1"/>
          <w:highlight w:val="none"/>
          <w14:textFill>
            <w14:solidFill>
              <w14:schemeClr w14:val="tx1"/>
            </w14:solidFill>
          </w14:textFill>
        </w:rPr>
        <w:t>]为准</w:t>
      </w:r>
      <w:r>
        <w:rPr>
          <w:rFonts w:hint="eastAsia" w:ascii="宋体" w:hAnsi="宋体" w:cs="HiddenHorzOCR"/>
          <w:color w:val="000000" w:themeColor="text1"/>
          <w:kern w:val="0"/>
          <w:szCs w:val="21"/>
          <w:highlight w:val="none"/>
          <w14:textFill>
            <w14:solidFill>
              <w14:schemeClr w14:val="tx1"/>
            </w14:solidFill>
          </w14:textFill>
        </w:rPr>
        <w:t>。</w:t>
      </w:r>
    </w:p>
    <w:p w14:paraId="5AE3E2D6">
      <w:pPr>
        <w:spacing w:line="360" w:lineRule="auto"/>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 xml:space="preserve">【第十八条】附件 </w:t>
      </w:r>
    </w:p>
    <w:p w14:paraId="2CBB4E42">
      <w:pPr>
        <w:spacing w:line="360" w:lineRule="auto"/>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与履行本合同有关的下列文件，为本合同的组成部分，彼此相互解释，相互补充。为便于解释，组成合同的多个文件的优先支配地位的次序如下：[</w:t>
      </w:r>
      <w:r>
        <w:rPr>
          <w:rFonts w:hint="eastAsia" w:ascii="宋体" w:hAnsi="宋体"/>
          <w:i/>
          <w:color w:val="000000" w:themeColor="text1"/>
          <w:szCs w:val="21"/>
          <w:highlight w:val="none"/>
          <w14:textFill>
            <w14:solidFill>
              <w14:schemeClr w14:val="tx1"/>
            </w14:solidFill>
          </w14:textFill>
        </w:rPr>
        <w:t>使用说明：</w:t>
      </w:r>
      <w:r>
        <w:rPr>
          <w:rFonts w:hint="eastAsia" w:ascii="宋体" w:hAnsi="宋体"/>
          <w:i/>
          <w:color w:val="000000" w:themeColor="text1"/>
          <w:szCs w:val="21"/>
          <w:highlight w:val="none"/>
          <w:u w:val="single"/>
          <w14:textFill>
            <w14:solidFill>
              <w14:schemeClr w14:val="tx1"/>
            </w14:solidFill>
          </w14:textFill>
        </w:rPr>
        <w:t>请根据实际情况列明</w:t>
      </w:r>
      <w:r>
        <w:rPr>
          <w:rFonts w:hint="eastAsia" w:ascii="宋体" w:hAnsi="宋体"/>
          <w:color w:val="000000" w:themeColor="text1"/>
          <w:szCs w:val="21"/>
          <w:highlight w:val="none"/>
          <w14:textFill>
            <w14:solidFill>
              <w14:schemeClr w14:val="tx1"/>
            </w14:solidFill>
          </w14:textFill>
        </w:rPr>
        <w:t>]</w:t>
      </w:r>
    </w:p>
    <w:p w14:paraId="647FEC77">
      <w:pPr>
        <w:spacing w:line="400" w:lineRule="exact"/>
        <w:ind w:firstLine="57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ascii="宋体"/>
          <w:color w:val="000000" w:themeColor="text1"/>
          <w:highlight w:val="none"/>
          <w14:textFill>
            <w14:solidFill>
              <w14:schemeClr w14:val="tx1"/>
            </w14:solidFill>
          </w14:textFill>
        </w:rPr>
        <w:t>技术规格及要求</w:t>
      </w:r>
    </w:p>
    <w:p w14:paraId="06B6BB23">
      <w:pPr>
        <w:spacing w:line="400" w:lineRule="exact"/>
        <w:ind w:firstLine="576"/>
        <w:rPr>
          <w:color w:val="000000" w:themeColor="text1"/>
          <w:highlight w:val="none"/>
          <w14:textFill>
            <w14:solidFill>
              <w14:schemeClr w14:val="tx1"/>
            </w14:solidFill>
          </w14:textFill>
        </w:rPr>
      </w:pPr>
      <w:r>
        <w:rPr>
          <w:rFonts w:hint="eastAsia" w:ascii="Arial" w:hAnsi="Arial"/>
          <w:color w:val="000000" w:themeColor="text1"/>
          <w:highlight w:val="none"/>
          <w14:textFill>
            <w14:solidFill>
              <w14:schemeClr w14:val="tx1"/>
            </w14:solidFill>
          </w14:textFill>
        </w:rPr>
        <w:t>2.技术支持和服务措施方案</w:t>
      </w:r>
    </w:p>
    <w:p w14:paraId="1938C2CE">
      <w:pPr>
        <w:spacing w:line="400" w:lineRule="exact"/>
        <w:ind w:firstLine="57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3.培训方案及承诺</w:t>
      </w:r>
    </w:p>
    <w:p w14:paraId="23C86296">
      <w:pPr>
        <w:spacing w:line="400" w:lineRule="exact"/>
        <w:ind w:firstLine="57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4.保密承诺函（如有）</w:t>
      </w:r>
    </w:p>
    <w:p w14:paraId="7810FF18">
      <w:pPr>
        <w:spacing w:line="400" w:lineRule="exact"/>
        <w:ind w:firstLine="576"/>
        <w:rPr>
          <w:rFonts w:ascii="宋体"/>
          <w:b/>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 xml:space="preserve">[使用说明：可根据实际情况和具体需求调整上述附件及其顺序，并可增加相应的附件，例如：安全验收文件、保密承诺等] </w:t>
      </w:r>
    </w:p>
    <w:p w14:paraId="2C6D8D0C">
      <w:pPr>
        <w:spacing w:line="360" w:lineRule="auto"/>
        <w:rPr>
          <w:rFonts w:ascii="宋体"/>
          <w:b/>
          <w:color w:val="000000" w:themeColor="text1"/>
          <w:highlight w:val="none"/>
          <w14:textFill>
            <w14:solidFill>
              <w14:schemeClr w14:val="tx1"/>
            </w14:solidFill>
          </w14:textFill>
        </w:rPr>
      </w:pPr>
    </w:p>
    <w:p w14:paraId="0B14949C">
      <w:pPr>
        <w:spacing w:line="360" w:lineRule="auto"/>
        <w:rPr>
          <w:rFonts w:ascii="宋体"/>
          <w:color w:val="000000" w:themeColor="text1"/>
          <w:highlight w:val="none"/>
          <w14:textFill>
            <w14:solidFill>
              <w14:schemeClr w14:val="tx1"/>
            </w14:solidFill>
          </w14:textFill>
        </w:rPr>
      </w:pPr>
    </w:p>
    <w:p w14:paraId="6BDE6843">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甲方：中国银行股份有限公司青海省分行</w:t>
      </w: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乙方：</w:t>
      </w:r>
    </w:p>
    <w:p w14:paraId="5E09213D">
      <w:pPr>
        <w:spacing w:line="360" w:lineRule="auto"/>
        <w:ind w:firstLine="564"/>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 xml:space="preserve">                     </w:t>
      </w:r>
    </w:p>
    <w:p w14:paraId="5DB34B7D">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甲方法定代表人或授权签字人（签字）：</w:t>
      </w: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乙方法定代表人或授权签字人（签字）：</w:t>
      </w:r>
      <w:r>
        <w:rPr>
          <w:rFonts w:ascii="宋体"/>
          <w:color w:val="000000" w:themeColor="text1"/>
          <w:highlight w:val="none"/>
          <w14:textFill>
            <w14:solidFill>
              <w14:schemeClr w14:val="tx1"/>
            </w14:solidFill>
          </w14:textFill>
        </w:rPr>
        <w:t xml:space="preserve">           </w:t>
      </w:r>
    </w:p>
    <w:p w14:paraId="2A7EC6C4">
      <w:pPr>
        <w:spacing w:line="360" w:lineRule="auto"/>
        <w:ind w:firstLine="564"/>
        <w:rPr>
          <w:rFonts w:ascii="宋体"/>
          <w:color w:val="000000" w:themeColor="text1"/>
          <w:highlight w:val="none"/>
          <w14:textFill>
            <w14:solidFill>
              <w14:schemeClr w14:val="tx1"/>
            </w14:solidFill>
          </w14:textFill>
        </w:rPr>
      </w:pPr>
    </w:p>
    <w:p w14:paraId="395B86BD">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甲方（公章）：</w:t>
      </w: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乙方（公章）：</w:t>
      </w:r>
      <w:r>
        <w:rPr>
          <w:rFonts w:ascii="宋体"/>
          <w:color w:val="000000" w:themeColor="text1"/>
          <w:highlight w:val="none"/>
          <w14:textFill>
            <w14:solidFill>
              <w14:schemeClr w14:val="tx1"/>
            </w14:solidFill>
          </w14:textFill>
        </w:rPr>
        <w:t xml:space="preserve">                                                                     </w:t>
      </w:r>
    </w:p>
    <w:p w14:paraId="273BE2B7">
      <w:pPr>
        <w:spacing w:line="360" w:lineRule="auto"/>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 xml:space="preserve">                           </w:t>
      </w:r>
    </w:p>
    <w:p w14:paraId="4441EE9B">
      <w:pPr>
        <w:spacing w:line="360" w:lineRule="auto"/>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日期：[</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]年[</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]月[</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]日</w:t>
      </w:r>
      <w:r>
        <w:rPr>
          <w:rFonts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日期：[</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]年[</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]月[</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]日</w:t>
      </w:r>
    </w:p>
    <w:p w14:paraId="45B4EDAE">
      <w:pPr>
        <w:pStyle w:val="27"/>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6DB475C">
      <w:pPr>
        <w:pStyle w:val="3"/>
        <w:numPr>
          <w:ilvl w:val="0"/>
          <w:numId w:val="52"/>
        </w:numPr>
        <w:spacing w:line="360" w:lineRule="auto"/>
        <w:jc w:val="center"/>
        <w:rPr>
          <w:rFonts w:hint="eastAsia" w:ascii="仿宋" w:hAnsi="仿宋" w:cs="仿宋"/>
          <w:color w:val="000000" w:themeColor="text1"/>
          <w:sz w:val="24"/>
          <w:szCs w:val="24"/>
          <w:highlight w:val="none"/>
          <w14:textFill>
            <w14:solidFill>
              <w14:schemeClr w14:val="tx1"/>
            </w14:solidFill>
          </w14:textFill>
        </w:rPr>
      </w:pPr>
      <w:bookmarkStart w:id="260" w:name="_Toc2753"/>
      <w:bookmarkStart w:id="261" w:name="_Toc26928"/>
      <w:bookmarkStart w:id="262" w:name="_Toc4701"/>
      <w:bookmarkStart w:id="263" w:name="_Toc14067"/>
      <w:bookmarkStart w:id="264" w:name="_Toc10693"/>
      <w:bookmarkStart w:id="265" w:name="_Toc2178"/>
      <w:bookmarkStart w:id="266" w:name="_Toc20883"/>
      <w:bookmarkStart w:id="267" w:name="_Toc149230415"/>
      <w:bookmarkStart w:id="268" w:name="_Toc30790"/>
      <w:bookmarkStart w:id="269" w:name="_Toc3477"/>
      <w:bookmarkStart w:id="270" w:name="_Toc4055"/>
      <w:bookmarkStart w:id="271" w:name="_Toc20492"/>
      <w:bookmarkStart w:id="272" w:name="_Toc13450"/>
      <w:bookmarkStart w:id="273" w:name="_Toc150933634"/>
      <w:r>
        <w:rPr>
          <w:rFonts w:hint="eastAsia" w:ascii="仿宋" w:hAnsi="仿宋" w:cs="仿宋"/>
          <w:color w:val="000000" w:themeColor="text1"/>
          <w:sz w:val="24"/>
          <w:szCs w:val="24"/>
          <w:highlight w:val="none"/>
          <w14:textFill>
            <w14:solidFill>
              <w14:schemeClr w14:val="tx1"/>
            </w14:solidFill>
          </w14:textFill>
        </w:rPr>
        <w:t>采购需求书</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56A4D76">
      <w:pPr>
        <w:widowControl w:val="0"/>
        <w:numPr>
          <w:ilvl w:val="0"/>
          <w:numId w:val="0"/>
        </w:numPr>
        <w:jc w:val="both"/>
        <w:rPr>
          <w:color w:val="000000" w:themeColor="text1"/>
          <w:highlight w:val="none"/>
          <w14:textFill>
            <w14:solidFill>
              <w14:schemeClr w14:val="tx1"/>
            </w14:solidFill>
          </w14:textFill>
        </w:rPr>
      </w:pPr>
    </w:p>
    <w:p w14:paraId="657C9ABF">
      <w:pPr>
        <w:pStyle w:val="2"/>
        <w:spacing w:line="360" w:lineRule="auto"/>
        <w:ind w:firstLine="482" w:firstLineChars="200"/>
        <w:rPr>
          <w:rFonts w:hint="eastAsia"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一、项目</w:t>
      </w:r>
      <w:r>
        <w:rPr>
          <w:rFonts w:hint="eastAsia" w:ascii="仿宋" w:hAnsi="仿宋" w:cs="仿宋"/>
          <w:b/>
          <w:bCs/>
          <w:color w:val="000000" w:themeColor="text1"/>
          <w:highlight w:val="none"/>
          <w:lang w:eastAsia="zh-CN"/>
          <w14:textFill>
            <w14:solidFill>
              <w14:schemeClr w14:val="tx1"/>
            </w14:solidFill>
          </w14:textFill>
        </w:rPr>
        <w:t>概况</w:t>
      </w:r>
    </w:p>
    <w:p w14:paraId="26F9F5E0">
      <w:pPr>
        <w:keepNext w:val="0"/>
        <w:keepLines w:val="0"/>
        <w:pageBreakBefore w:val="0"/>
        <w:widowControl w:val="0"/>
        <w:kinsoku/>
        <w:wordWrap/>
        <w:overflowPunct/>
        <w:topLinePunct w:val="0"/>
        <w:autoSpaceDE/>
        <w:autoSpaceDN/>
        <w:bidi w:val="0"/>
        <w:adjustRightInd/>
        <w:snapToGrid/>
        <w:spacing w:beforeLines="0" w:afterLines="0" w:line="360" w:lineRule="auto"/>
        <w:ind w:right="0" w:rightChars="0" w:firstLine="480" w:firstLineChars="200"/>
        <w:jc w:val="both"/>
        <w:textAlignment w:val="auto"/>
        <w:outlineLvl w:val="9"/>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采购一家</w:t>
      </w:r>
      <w:r>
        <w:rPr>
          <w:rFonts w:hint="eastAsia" w:ascii="仿宋" w:hAnsi="仿宋" w:cs="仿宋"/>
          <w:color w:val="000000" w:themeColor="text1"/>
          <w:sz w:val="24"/>
          <w:szCs w:val="24"/>
          <w:highlight w:val="none"/>
          <w:lang w:val="en-US" w:eastAsia="zh-CN"/>
          <w14:textFill>
            <w14:solidFill>
              <w14:schemeClr w14:val="tx1"/>
            </w14:solidFill>
          </w14:textFill>
        </w:rPr>
        <w:t>家具供货</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cs="仿宋"/>
          <w:color w:val="000000" w:themeColor="text1"/>
          <w:sz w:val="24"/>
          <w:szCs w:val="24"/>
          <w:highlight w:val="none"/>
          <w:lang w:val="en-US" w:eastAsia="zh-CN"/>
          <w14:textFill>
            <w14:solidFill>
              <w14:schemeClr w14:val="tx1"/>
            </w14:solidFill>
          </w14:textFill>
        </w:rPr>
        <w:t>为中国银行海东分行、格尔木分行提供办公及宿舍家具</w:t>
      </w:r>
      <w:r>
        <w:rPr>
          <w:rFonts w:hint="eastAsia" w:ascii="仿宋" w:hAnsi="仿宋" w:eastAsia="仿宋" w:cs="仿宋"/>
          <w:color w:val="000000" w:themeColor="text1"/>
          <w:sz w:val="24"/>
          <w:szCs w:val="24"/>
          <w:highlight w:val="none"/>
          <w:lang w:val="en-US" w:eastAsia="zh-CN"/>
          <w14:textFill>
            <w14:solidFill>
              <w14:schemeClr w14:val="tx1"/>
            </w14:solidFill>
          </w14:textFill>
        </w:rPr>
        <w:t>，并进行</w:t>
      </w:r>
      <w:r>
        <w:rPr>
          <w:rFonts w:hint="eastAsia" w:ascii="仿宋" w:hAnsi="仿宋" w:cs="仿宋"/>
          <w:color w:val="000000" w:themeColor="text1"/>
          <w:sz w:val="24"/>
          <w:szCs w:val="24"/>
          <w:highlight w:val="none"/>
          <w:lang w:val="en-US" w:eastAsia="zh-CN"/>
          <w14:textFill>
            <w14:solidFill>
              <w14:schemeClr w14:val="tx1"/>
            </w14:solidFill>
          </w14:textFill>
        </w:rPr>
        <w:t>货物的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安装</w:t>
      </w:r>
      <w:r>
        <w:rPr>
          <w:rFonts w:hint="eastAsia" w:ascii="仿宋" w:hAnsi="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调试。</w:t>
      </w:r>
    </w:p>
    <w:p w14:paraId="15E89B6D">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仿宋" w:hAnsi="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二、技术要求（以下内容均为不允许偏离的实质性要求，若有负偏离以无效标处理）</w:t>
      </w:r>
    </w:p>
    <w:tbl>
      <w:tblPr>
        <w:tblStyle w:val="3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40"/>
        <w:gridCol w:w="339"/>
        <w:gridCol w:w="402"/>
        <w:gridCol w:w="790"/>
        <w:gridCol w:w="483"/>
        <w:gridCol w:w="435"/>
        <w:gridCol w:w="5807"/>
        <w:gridCol w:w="475"/>
      </w:tblGrid>
      <w:tr w14:paraId="6F5D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9071" w:type="dxa"/>
            <w:gridSpan w:val="8"/>
            <w:vAlign w:val="center"/>
          </w:tcPr>
          <w:p w14:paraId="76D2CCD6">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中国银行海东分行、格尔木分行家具采购项目采购需求明细表</w:t>
            </w:r>
          </w:p>
        </w:tc>
      </w:tr>
      <w:tr w14:paraId="35F6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340" w:type="dxa"/>
            <w:tcBorders>
              <w:top w:val="single" w:color="000000" w:sz="12" w:space="0"/>
              <w:left w:val="single" w:color="000000" w:sz="12" w:space="0"/>
              <w:bottom w:val="single" w:color="000000" w:sz="4" w:space="0"/>
              <w:right w:val="single" w:color="000000" w:sz="4" w:space="0"/>
            </w:tcBorders>
            <w:vAlign w:val="center"/>
          </w:tcPr>
          <w:p w14:paraId="6FEAB70F">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项目机构</w:t>
            </w:r>
          </w:p>
        </w:tc>
        <w:tc>
          <w:tcPr>
            <w:tcW w:w="339" w:type="dxa"/>
            <w:tcBorders>
              <w:top w:val="single" w:color="000000" w:sz="12" w:space="0"/>
              <w:left w:val="single" w:color="000000" w:sz="4" w:space="0"/>
              <w:bottom w:val="single" w:color="000000" w:sz="4" w:space="0"/>
              <w:right w:val="single" w:color="000000" w:sz="4" w:space="0"/>
            </w:tcBorders>
            <w:vAlign w:val="center"/>
          </w:tcPr>
          <w:p w14:paraId="775934DF">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序号</w:t>
            </w:r>
          </w:p>
        </w:tc>
        <w:tc>
          <w:tcPr>
            <w:tcW w:w="402" w:type="dxa"/>
            <w:tcBorders>
              <w:top w:val="single" w:color="000000" w:sz="12" w:space="0"/>
              <w:left w:val="single" w:color="000000" w:sz="4" w:space="0"/>
              <w:bottom w:val="single" w:color="000000" w:sz="4" w:space="0"/>
              <w:right w:val="single" w:color="000000" w:sz="4" w:space="0"/>
            </w:tcBorders>
            <w:vAlign w:val="center"/>
          </w:tcPr>
          <w:p w14:paraId="5698F7B9">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产品名称</w:t>
            </w:r>
          </w:p>
        </w:tc>
        <w:tc>
          <w:tcPr>
            <w:tcW w:w="790" w:type="dxa"/>
            <w:tcBorders>
              <w:top w:val="single" w:color="000000" w:sz="12" w:space="0"/>
              <w:left w:val="single" w:color="000000" w:sz="4" w:space="0"/>
              <w:bottom w:val="single" w:color="000000" w:sz="4" w:space="0"/>
              <w:right w:val="single" w:color="000000" w:sz="4" w:space="0"/>
            </w:tcBorders>
            <w:vAlign w:val="center"/>
          </w:tcPr>
          <w:p w14:paraId="32423E15">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规格（长x宽x高）单位：毫米</w:t>
            </w:r>
          </w:p>
        </w:tc>
        <w:tc>
          <w:tcPr>
            <w:tcW w:w="483" w:type="dxa"/>
            <w:tcBorders>
              <w:top w:val="single" w:color="000000" w:sz="12" w:space="0"/>
              <w:left w:val="single" w:color="000000" w:sz="4" w:space="0"/>
              <w:bottom w:val="single" w:color="000000" w:sz="4" w:space="0"/>
              <w:right w:val="single" w:color="000000" w:sz="4" w:space="0"/>
            </w:tcBorders>
            <w:vAlign w:val="center"/>
          </w:tcPr>
          <w:p w14:paraId="72E6068B">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数量</w:t>
            </w:r>
          </w:p>
        </w:tc>
        <w:tc>
          <w:tcPr>
            <w:tcW w:w="435" w:type="dxa"/>
            <w:tcBorders>
              <w:top w:val="single" w:color="000000" w:sz="12" w:space="0"/>
              <w:left w:val="single" w:color="000000" w:sz="4" w:space="0"/>
              <w:bottom w:val="single" w:color="000000" w:sz="4" w:space="0"/>
              <w:right w:val="single" w:color="000000" w:sz="4" w:space="0"/>
            </w:tcBorders>
            <w:vAlign w:val="center"/>
          </w:tcPr>
          <w:p w14:paraId="6A4E987D">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单位</w:t>
            </w:r>
          </w:p>
        </w:tc>
        <w:tc>
          <w:tcPr>
            <w:tcW w:w="5807" w:type="dxa"/>
            <w:tcBorders>
              <w:top w:val="single" w:color="000000" w:sz="12" w:space="0"/>
              <w:left w:val="single" w:color="000000" w:sz="4" w:space="0"/>
              <w:bottom w:val="single" w:color="000000" w:sz="4" w:space="0"/>
              <w:right w:val="single" w:color="000000" w:sz="4" w:space="0"/>
            </w:tcBorders>
            <w:vAlign w:val="center"/>
          </w:tcPr>
          <w:p w14:paraId="4D8E0003">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参数</w:t>
            </w:r>
          </w:p>
        </w:tc>
        <w:tc>
          <w:tcPr>
            <w:tcW w:w="475" w:type="dxa"/>
            <w:tcBorders>
              <w:top w:val="single" w:color="000000" w:sz="12" w:space="0"/>
              <w:left w:val="single" w:color="000000" w:sz="4" w:space="0"/>
              <w:bottom w:val="single" w:color="000000" w:sz="4" w:space="0"/>
              <w:right w:val="single" w:color="000000" w:sz="12" w:space="0"/>
            </w:tcBorders>
            <w:vAlign w:val="center"/>
          </w:tcPr>
          <w:p w14:paraId="688D5559">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备注</w:t>
            </w:r>
          </w:p>
        </w:tc>
      </w:tr>
      <w:tr w14:paraId="4AAB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340" w:type="dxa"/>
            <w:vMerge w:val="restart"/>
            <w:tcBorders>
              <w:top w:val="single" w:color="000000" w:sz="4" w:space="0"/>
              <w:left w:val="single" w:color="000000" w:sz="12" w:space="0"/>
              <w:bottom w:val="single" w:color="000000" w:sz="4" w:space="0"/>
              <w:right w:val="single" w:color="000000" w:sz="4" w:space="0"/>
            </w:tcBorders>
            <w:vAlign w:val="center"/>
          </w:tcPr>
          <w:p w14:paraId="2DC78DC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格尔木分行办公家具</w:t>
            </w:r>
          </w:p>
        </w:tc>
        <w:tc>
          <w:tcPr>
            <w:tcW w:w="339" w:type="dxa"/>
            <w:tcBorders>
              <w:top w:val="single" w:color="000000" w:sz="4" w:space="0"/>
              <w:left w:val="single" w:color="000000" w:sz="4" w:space="0"/>
              <w:bottom w:val="single" w:color="000000" w:sz="4" w:space="0"/>
              <w:right w:val="single" w:color="000000" w:sz="4" w:space="0"/>
            </w:tcBorders>
            <w:vAlign w:val="center"/>
          </w:tcPr>
          <w:p w14:paraId="241F5D8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02" w:type="dxa"/>
            <w:tcBorders>
              <w:top w:val="single" w:color="000000" w:sz="4" w:space="0"/>
              <w:left w:val="single" w:color="000000" w:sz="4" w:space="0"/>
              <w:bottom w:val="single" w:color="000000" w:sz="4" w:space="0"/>
              <w:right w:val="single" w:color="000000" w:sz="4" w:space="0"/>
            </w:tcBorders>
            <w:vAlign w:val="center"/>
          </w:tcPr>
          <w:p w14:paraId="3A19506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组合文件柜</w:t>
            </w:r>
          </w:p>
        </w:tc>
        <w:tc>
          <w:tcPr>
            <w:tcW w:w="790" w:type="dxa"/>
            <w:tcBorders>
              <w:top w:val="single" w:color="000000" w:sz="4" w:space="0"/>
              <w:left w:val="single" w:color="000000" w:sz="4" w:space="0"/>
              <w:bottom w:val="single" w:color="000000" w:sz="4" w:space="0"/>
              <w:right w:val="single" w:color="000000" w:sz="4" w:space="0"/>
            </w:tcBorders>
            <w:vAlign w:val="center"/>
          </w:tcPr>
          <w:p w14:paraId="3C61FD2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3130x400x2650</w:t>
            </w:r>
          </w:p>
        </w:tc>
        <w:tc>
          <w:tcPr>
            <w:tcW w:w="483" w:type="dxa"/>
            <w:tcBorders>
              <w:top w:val="single" w:color="000000" w:sz="4" w:space="0"/>
              <w:left w:val="single" w:color="000000" w:sz="4" w:space="0"/>
              <w:bottom w:val="single" w:color="000000" w:sz="4" w:space="0"/>
              <w:right w:val="single" w:color="000000" w:sz="4" w:space="0"/>
            </w:tcBorders>
            <w:vAlign w:val="center"/>
          </w:tcPr>
          <w:p w14:paraId="1EA8CF8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vAlign w:val="center"/>
          </w:tcPr>
          <w:p w14:paraId="1CA1836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7B766CB0">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4、油漆：采用优质环保水性面漆与水性底漆相结合，符合GB 18581-2020《木器涂料中有限物质限量》标准，总铅含量（限色漆、腻子）≤3mg/kg，可溶性重金属铬、可溶性重金属镉、可溶性重金属汞检测均为≤0.35mg/kg，乙二醇醚及醚酯总和含量未检出，苯系物总和含量[限苯、甲苯、二甲苯(含乙苯)]未检出，烷基酚聚氧乙烯醚总和含量未检出，VOC 含量≤40g/L，甲醛含量≤16mg/kg。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5、锁具：符合QB/T 3827-1999《轻工产品金属镀层和化学处理层的耐腐蚀试验方法 乙酸盐雾试验(ASS)法》、QB/T 3832-1999《轻工产品金属镀层腐蚀试验结果的评价》标准，其中锁头、钥匙外观、涂层件外观、涂层件附着力、牙花数、锁头固定连接静拉力、锁头固定连接扭矩均为合格，互开率≤0.18%，乙酸盐雾测试 600h 耐腐蚀等级达到 10 级。（需提供本项目挂网之前的所有原材料检测报告作为佐证，否则不予采纳）</w:t>
            </w:r>
          </w:p>
        </w:tc>
        <w:tc>
          <w:tcPr>
            <w:tcW w:w="475" w:type="dxa"/>
            <w:vMerge w:val="restart"/>
            <w:tcBorders>
              <w:top w:val="single" w:color="000000" w:sz="4" w:space="0"/>
              <w:left w:val="single" w:color="000000" w:sz="4" w:space="0"/>
              <w:bottom w:val="single" w:color="000000" w:sz="4" w:space="0"/>
              <w:right w:val="single" w:color="000000" w:sz="12" w:space="0"/>
            </w:tcBorders>
            <w:vAlign w:val="center"/>
          </w:tcPr>
          <w:p w14:paraId="3ADF7AB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行长办公室（四楼2间、三楼3间）</w:t>
            </w:r>
          </w:p>
        </w:tc>
      </w:tr>
      <w:tr w14:paraId="3755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8"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6A9985A4">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2599CB1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402" w:type="dxa"/>
            <w:tcBorders>
              <w:top w:val="single" w:color="000000" w:sz="4" w:space="0"/>
              <w:left w:val="single" w:color="000000" w:sz="4" w:space="0"/>
              <w:bottom w:val="single" w:color="000000" w:sz="4" w:space="0"/>
              <w:right w:val="single" w:color="000000" w:sz="4" w:space="0"/>
            </w:tcBorders>
            <w:vAlign w:val="center"/>
          </w:tcPr>
          <w:p w14:paraId="1AF3F2F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茶几</w:t>
            </w:r>
          </w:p>
        </w:tc>
        <w:tc>
          <w:tcPr>
            <w:tcW w:w="790" w:type="dxa"/>
            <w:tcBorders>
              <w:top w:val="single" w:color="000000" w:sz="4" w:space="0"/>
              <w:left w:val="single" w:color="000000" w:sz="4" w:space="0"/>
              <w:bottom w:val="single" w:color="000000" w:sz="4" w:space="0"/>
              <w:right w:val="single" w:color="000000" w:sz="4" w:space="0"/>
            </w:tcBorders>
            <w:vAlign w:val="center"/>
          </w:tcPr>
          <w:p w14:paraId="345AA97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1400x700x450</w:t>
            </w:r>
          </w:p>
        </w:tc>
        <w:tc>
          <w:tcPr>
            <w:tcW w:w="483" w:type="dxa"/>
            <w:tcBorders>
              <w:top w:val="single" w:color="000000" w:sz="4" w:space="0"/>
              <w:left w:val="single" w:color="000000" w:sz="4" w:space="0"/>
              <w:bottom w:val="single" w:color="000000" w:sz="4" w:space="0"/>
              <w:right w:val="single" w:color="000000" w:sz="4" w:space="0"/>
            </w:tcBorders>
            <w:vAlign w:val="center"/>
          </w:tcPr>
          <w:p w14:paraId="046D83E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vAlign w:val="center"/>
          </w:tcPr>
          <w:p w14:paraId="6D7371B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6AD1C42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7EDB948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506A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06DD619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7C431C2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402" w:type="dxa"/>
            <w:tcBorders>
              <w:top w:val="single" w:color="000000" w:sz="4" w:space="0"/>
              <w:left w:val="single" w:color="000000" w:sz="4" w:space="0"/>
              <w:bottom w:val="single" w:color="000000" w:sz="4" w:space="0"/>
              <w:right w:val="single" w:color="000000" w:sz="4" w:space="0"/>
            </w:tcBorders>
            <w:vAlign w:val="center"/>
          </w:tcPr>
          <w:p w14:paraId="01613C6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茶水柜</w:t>
            </w:r>
          </w:p>
        </w:tc>
        <w:tc>
          <w:tcPr>
            <w:tcW w:w="790" w:type="dxa"/>
            <w:tcBorders>
              <w:top w:val="single" w:color="000000" w:sz="4" w:space="0"/>
              <w:left w:val="single" w:color="000000" w:sz="4" w:space="0"/>
              <w:bottom w:val="single" w:color="000000" w:sz="4" w:space="0"/>
              <w:right w:val="single" w:color="000000" w:sz="4" w:space="0"/>
            </w:tcBorders>
            <w:vAlign w:val="center"/>
          </w:tcPr>
          <w:p w14:paraId="6490DBB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800x400x800</w:t>
            </w:r>
          </w:p>
        </w:tc>
        <w:tc>
          <w:tcPr>
            <w:tcW w:w="483" w:type="dxa"/>
            <w:tcBorders>
              <w:top w:val="single" w:color="000000" w:sz="4" w:space="0"/>
              <w:left w:val="single" w:color="000000" w:sz="4" w:space="0"/>
              <w:bottom w:val="single" w:color="000000" w:sz="4" w:space="0"/>
              <w:right w:val="single" w:color="000000" w:sz="4" w:space="0"/>
            </w:tcBorders>
            <w:vAlign w:val="center"/>
          </w:tcPr>
          <w:p w14:paraId="588B6AA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vAlign w:val="center"/>
          </w:tcPr>
          <w:p w14:paraId="5E49064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5E03F0D4">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4、粘合剂:采用高粘性热熔胶，符合GB 18583-2008《室内装饰装修材料 胶粘剂中有害物质限量》标准，苯≤0.01g/kg、甲苯+二甲苯含量≤0.05g/kg，二氯甲烷、1,2-二氯乙烷、1,1,2-三氯乙烷、三氯乙烯含量≤0.1g/kg，总挥发性有机物≤2g/kg。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5、铰链：符合QB/T 3827-1999《轻工产品金属镀层和化学处理层的耐腐蚀试验方法 乙酸盐雾试验(ASS)法》、QB/T 3832-1999《轻工产品金属镀层腐蚀试验结果的评价》标准，其中过载、功能性能合格，耐久性试验 600000 次无缺陷，乙酸盐雾测试 600h 耐腐蚀等级达到 10 级。（需提供本项目挂网之前的所有原材料检测报告作为佐证，否则不予采纳）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3B995C3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466A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327C7500">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6A1B0A6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w:t>
            </w:r>
          </w:p>
        </w:tc>
        <w:tc>
          <w:tcPr>
            <w:tcW w:w="402" w:type="dxa"/>
            <w:tcBorders>
              <w:top w:val="single" w:color="000000" w:sz="4" w:space="0"/>
              <w:left w:val="single" w:color="000000" w:sz="4" w:space="0"/>
              <w:bottom w:val="single" w:color="000000" w:sz="4" w:space="0"/>
              <w:right w:val="single" w:color="000000" w:sz="4" w:space="0"/>
            </w:tcBorders>
            <w:vAlign w:val="center"/>
          </w:tcPr>
          <w:p w14:paraId="13243F7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办公桌椅</w:t>
            </w:r>
          </w:p>
        </w:tc>
        <w:tc>
          <w:tcPr>
            <w:tcW w:w="790" w:type="dxa"/>
            <w:tcBorders>
              <w:top w:val="single" w:color="000000" w:sz="4" w:space="0"/>
              <w:left w:val="single" w:color="000000" w:sz="4" w:space="0"/>
              <w:bottom w:val="single" w:color="000000" w:sz="4" w:space="0"/>
              <w:right w:val="single" w:color="000000" w:sz="4" w:space="0"/>
            </w:tcBorders>
            <w:vAlign w:val="center"/>
          </w:tcPr>
          <w:p w14:paraId="1CB5AF1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桌子：1600x1600x750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椅子：650x560x1050</w:t>
            </w:r>
          </w:p>
        </w:tc>
        <w:tc>
          <w:tcPr>
            <w:tcW w:w="483" w:type="dxa"/>
            <w:tcBorders>
              <w:top w:val="single" w:color="000000" w:sz="4" w:space="0"/>
              <w:left w:val="single" w:color="000000" w:sz="4" w:space="0"/>
              <w:bottom w:val="single" w:color="000000" w:sz="4" w:space="0"/>
              <w:right w:val="single" w:color="000000" w:sz="4" w:space="0"/>
            </w:tcBorders>
            <w:vAlign w:val="center"/>
          </w:tcPr>
          <w:p w14:paraId="4B5779C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43</w:t>
            </w:r>
          </w:p>
        </w:tc>
        <w:tc>
          <w:tcPr>
            <w:tcW w:w="435" w:type="dxa"/>
            <w:tcBorders>
              <w:top w:val="single" w:color="000000" w:sz="4" w:space="0"/>
              <w:left w:val="single" w:color="000000" w:sz="4" w:space="0"/>
              <w:bottom w:val="single" w:color="000000" w:sz="4" w:space="0"/>
              <w:right w:val="single" w:color="000000" w:sz="4" w:space="0"/>
            </w:tcBorders>
            <w:vAlign w:val="center"/>
          </w:tcPr>
          <w:p w14:paraId="384FB2A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套</w:t>
            </w:r>
          </w:p>
        </w:tc>
        <w:tc>
          <w:tcPr>
            <w:tcW w:w="5807" w:type="dxa"/>
            <w:tcBorders>
              <w:top w:val="single" w:color="000000" w:sz="4" w:space="0"/>
              <w:left w:val="single" w:color="000000" w:sz="4" w:space="0"/>
              <w:bottom w:val="single" w:color="000000" w:sz="4" w:space="0"/>
              <w:right w:val="single" w:color="000000" w:sz="4" w:space="0"/>
            </w:tcBorders>
            <w:vAlign w:val="center"/>
          </w:tcPr>
          <w:p w14:paraId="4618C3FA">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桌子：</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4、粘合剂:采用高粘性热熔胶，符合GB 18583-2008《室内装饰装修材料 胶粘剂中有害物质限量》标准，苯≤0.01g/kg、甲苯+二甲苯含量≤0.05g/kg，二氯甲烷、1,2-二氯乙烷、1,1,2-三氯乙烷、三氯乙烯含量≤0.1g/kg，总挥发性有机物≤2g/kg。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6、优质五金配件，桌面留有两个圆形线孔，便于整理各类数据线和电源线。</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椅子：                                                                                                          1、饰面：采用头层牛皮，符合GB/T 16799-2018《家具用皮革》标准，撕裂力≥90N，摩擦色牢度干擦（800次）、湿擦（500次）、碱性汗液（120次）达到≥4级，气味≤2级，耐光性≥5级，耐磨性符合要求，禁用偶氮染料（23类）的含量未检出、游离甲醛含量未检出，挥发性有机化合物≤20mg/kg，PH值≥9.8，可萃取重金属铅含量、镉含量均为≤0.6mg/kg，皮革平整、柔软、丰满有弹性。</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2、海绵：采用高密度定型阻燃海绵，符合GB/T 10802-2006《通用软质聚醚型聚氨酯泡沫塑料》、QB/T 2280-2016《办公家具 办公椅》标准，长度极限偏差（＞1000-2000）为0~+15；颜色应均匀，允许轻微杂色黄芯，不允许有长度大于6mm的对穿孔和长度大于10mm的气孔；每平方米内弥和裂缝总长小于100mm，最大裂键小于30mm；片材两侧斜表皮宽度不超过厚度的一倍，并且最大不得超过40mm；无刺激性气味；25%压陷硬度为93±2N，65%25%压陷比≥2.0，75%压缩永久变形≤5%，回弹率≥40%，拉伸强度≥100 KPa，伸长率≥150%，撕裂强度≥2.8N/cm，干热老化后拉伸强度≥120KPa，湿热老化后拉伸强度变化率为±15%，TVOC≤0.1mg/㎡ h；表面和内部未出现任何续燃、阴燃现象，通过香烟抗引燃特性试验。</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3、气压棒：优质气压棒，符合GB/T 29525-2013标准，密封性能合格，气弹簧经-30℃和60℃高低温储存后，公称力Fa衰减量≤0.5%，循环寿命试验合格。</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4、油漆：采用环保PU油漆，采用五底三面的八道油漆涂装工艺，保证产品光泽、平整、纹理清晰、环保，符合GB 18581-2020标准，可溶性重金属铬、可溶性重金属镉、可溶性重金属汞检测均为≤2mg/kg，乙二醇醚及醚酯总和含量≤0.5mg/kg，苯含量≤0.001%，多环芳烃总和含量≤0.1mg/kg，卤代烃总和含量≤0.02%，VOC 含量≤280mg/kg，总铅含量≤2mg/kg。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5、实木架：优质橡胶木原料，胡桃木皮饰面，高强度不变型。橡胶木：GB 18584-2001《室内装饰装修材料木家具中有害物质限量》标准，甲醛释放量≤ 0.1mg/L，含水率为8~10.5%。</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6、脚轮：灵活无破损、连接牢固，受压力强，滑动无杂音，符合QB/T 5224-2018标准，外观配置、抗冲击性能、动载荷性能、静载荷性能均符合要求。（需提供本项目挂网之前的所有原材料检测报告作为佐证，否则不予采纳）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76A9123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员工办公室（四楼2间6人、2间2人，三楼4间6人,二楼2间4人）</w:t>
            </w:r>
          </w:p>
        </w:tc>
      </w:tr>
      <w:tr w14:paraId="3C77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3"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0F516581">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4DB5055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02" w:type="dxa"/>
            <w:tcBorders>
              <w:top w:val="single" w:color="000000" w:sz="4" w:space="0"/>
              <w:left w:val="single" w:color="000000" w:sz="4" w:space="0"/>
              <w:bottom w:val="single" w:color="000000" w:sz="4" w:space="0"/>
              <w:right w:val="single" w:color="000000" w:sz="4" w:space="0"/>
            </w:tcBorders>
            <w:vAlign w:val="center"/>
          </w:tcPr>
          <w:p w14:paraId="034C09E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三门文件柜</w:t>
            </w:r>
          </w:p>
        </w:tc>
        <w:tc>
          <w:tcPr>
            <w:tcW w:w="790" w:type="dxa"/>
            <w:tcBorders>
              <w:top w:val="single" w:color="000000" w:sz="4" w:space="0"/>
              <w:left w:val="single" w:color="000000" w:sz="4" w:space="0"/>
              <w:bottom w:val="single" w:color="000000" w:sz="4" w:space="0"/>
              <w:right w:val="single" w:color="000000" w:sz="4" w:space="0"/>
            </w:tcBorders>
            <w:vAlign w:val="center"/>
          </w:tcPr>
          <w:p w14:paraId="5645DB7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1200x400x2000</w:t>
            </w:r>
          </w:p>
        </w:tc>
        <w:tc>
          <w:tcPr>
            <w:tcW w:w="483" w:type="dxa"/>
            <w:tcBorders>
              <w:top w:val="single" w:color="000000" w:sz="4" w:space="0"/>
              <w:left w:val="single" w:color="000000" w:sz="4" w:space="0"/>
              <w:bottom w:val="single" w:color="000000" w:sz="4" w:space="0"/>
              <w:right w:val="single" w:color="000000" w:sz="4" w:space="0"/>
            </w:tcBorders>
            <w:vAlign w:val="center"/>
          </w:tcPr>
          <w:p w14:paraId="45176E6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17</w:t>
            </w:r>
          </w:p>
        </w:tc>
        <w:tc>
          <w:tcPr>
            <w:tcW w:w="435" w:type="dxa"/>
            <w:tcBorders>
              <w:top w:val="single" w:color="000000" w:sz="4" w:space="0"/>
              <w:left w:val="single" w:color="000000" w:sz="4" w:space="0"/>
              <w:bottom w:val="single" w:color="000000" w:sz="4" w:space="0"/>
              <w:right w:val="single" w:color="000000" w:sz="4" w:space="0"/>
            </w:tcBorders>
            <w:vAlign w:val="center"/>
          </w:tcPr>
          <w:p w14:paraId="63F7FE7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0B4B69A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4、油漆：采用优质环保水性面漆与水性底漆相结合，符合GB 18581-2020《木器涂料中有限物质限量》标准，总铅含量（限色漆、腻子）≤3mg/kg，可溶性重金属铬、可溶性重金属镉、可溶性重金属汞检测均为≤0.35mg/kg，乙二醇醚及醚酯总和含量未检出，苯系物总和含量[限苯、甲苯、二甲苯(含乙苯)]未检出，烷基酚聚氧乙烯醚总和含量未检出，VOC 含量≤40g/L，甲醛含量≤16mg/kg。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5、锁具：符合QB/T 3827-1999《轻工产品金属镀层和化学处理层的耐腐蚀试验方法 乙酸盐雾试验(ASS)法》、QB/T 3832-1999《轻工产品金属镀层腐蚀试验结果的评价》标准，其中锁头、钥匙外观、涂层件外观、涂层件附着力、牙花数、锁头固定连接静拉力、锁头固定连接扭矩均为合格，互开率≤0.18%，乙酸盐雾测试 600h 耐腐蚀等级达到 10 级。（需提供本项目挂网之前的所有原材料检测报告作为佐证，否则不予采纳）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72202293">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35F5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18EF1130">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5223B37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w:t>
            </w:r>
          </w:p>
        </w:tc>
        <w:tc>
          <w:tcPr>
            <w:tcW w:w="402" w:type="dxa"/>
            <w:tcBorders>
              <w:top w:val="single" w:color="000000" w:sz="4" w:space="0"/>
              <w:left w:val="single" w:color="000000" w:sz="4" w:space="0"/>
              <w:bottom w:val="single" w:color="000000" w:sz="4" w:space="0"/>
              <w:right w:val="single" w:color="000000" w:sz="4" w:space="0"/>
            </w:tcBorders>
            <w:vAlign w:val="center"/>
          </w:tcPr>
          <w:p w14:paraId="637EF45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两门文件柜</w:t>
            </w:r>
          </w:p>
        </w:tc>
        <w:tc>
          <w:tcPr>
            <w:tcW w:w="790" w:type="dxa"/>
            <w:tcBorders>
              <w:top w:val="single" w:color="000000" w:sz="4" w:space="0"/>
              <w:left w:val="single" w:color="000000" w:sz="4" w:space="0"/>
              <w:bottom w:val="single" w:color="000000" w:sz="4" w:space="0"/>
              <w:right w:val="single" w:color="000000" w:sz="4" w:space="0"/>
            </w:tcBorders>
            <w:vAlign w:val="center"/>
          </w:tcPr>
          <w:p w14:paraId="3C908F4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800x400x2000</w:t>
            </w:r>
          </w:p>
        </w:tc>
        <w:tc>
          <w:tcPr>
            <w:tcW w:w="483" w:type="dxa"/>
            <w:tcBorders>
              <w:top w:val="single" w:color="000000" w:sz="4" w:space="0"/>
              <w:left w:val="single" w:color="000000" w:sz="4" w:space="0"/>
              <w:bottom w:val="single" w:color="000000" w:sz="4" w:space="0"/>
              <w:right w:val="single" w:color="000000" w:sz="4" w:space="0"/>
            </w:tcBorders>
            <w:vAlign w:val="center"/>
          </w:tcPr>
          <w:p w14:paraId="73F62C2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9</w:t>
            </w:r>
          </w:p>
        </w:tc>
        <w:tc>
          <w:tcPr>
            <w:tcW w:w="435" w:type="dxa"/>
            <w:tcBorders>
              <w:top w:val="single" w:color="000000" w:sz="4" w:space="0"/>
              <w:left w:val="single" w:color="000000" w:sz="4" w:space="0"/>
              <w:bottom w:val="single" w:color="000000" w:sz="4" w:space="0"/>
              <w:right w:val="single" w:color="000000" w:sz="4" w:space="0"/>
            </w:tcBorders>
            <w:vAlign w:val="center"/>
          </w:tcPr>
          <w:p w14:paraId="4E43E99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24441471">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4、油漆：采用优质环保水性面漆与水性底漆相结合，符合GB 18581-2020《木器涂料中有限物质限量》标准，总铅含量（限色漆、腻子）≤3mg/kg，可溶性重金属铬、可溶性重金属镉、可溶性重金属汞检测均为≤0.35mg/kg，乙二醇醚及醚酯总和含量未检出，苯系物总和含量[限苯、甲苯、二甲苯(含乙苯)]未检出，烷基酚聚氧乙烯醚总和含量未检出，VOC 含量≤40g/L，甲醛含量≤16mg/kg。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5、锁具：符合QB/T 3827-1999《轻工产品金属镀层和化学处理层的耐腐蚀试验方法 乙酸盐雾试验(ASS)法》、QB/T 3832-1999《轻工产品金属镀层腐蚀试验结果的评价》标准，其中锁头、钥匙外观、涂层件外观、涂层件附着力、牙花数、锁头固定连接静拉力、锁头固定连接扭矩均为合格，互开率≤0.18%，乙酸盐雾测试 600h 耐腐蚀等级达到 10 级。（需提供本项目挂网之前的所有原材料检测报告作为佐证，否则不予采纳）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6E30D19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139B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4"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54E17DD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1C147F1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w:t>
            </w:r>
          </w:p>
        </w:tc>
        <w:tc>
          <w:tcPr>
            <w:tcW w:w="402" w:type="dxa"/>
            <w:tcBorders>
              <w:top w:val="single" w:color="000000" w:sz="4" w:space="0"/>
              <w:left w:val="single" w:color="000000" w:sz="4" w:space="0"/>
              <w:bottom w:val="single" w:color="000000" w:sz="4" w:space="0"/>
              <w:right w:val="single" w:color="000000" w:sz="4" w:space="0"/>
            </w:tcBorders>
            <w:vAlign w:val="center"/>
          </w:tcPr>
          <w:p w14:paraId="718015F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茶水柜</w:t>
            </w:r>
          </w:p>
        </w:tc>
        <w:tc>
          <w:tcPr>
            <w:tcW w:w="790" w:type="dxa"/>
            <w:tcBorders>
              <w:top w:val="single" w:color="000000" w:sz="4" w:space="0"/>
              <w:left w:val="single" w:color="000000" w:sz="4" w:space="0"/>
              <w:bottom w:val="single" w:color="000000" w:sz="4" w:space="0"/>
              <w:right w:val="single" w:color="000000" w:sz="4" w:space="0"/>
            </w:tcBorders>
            <w:vAlign w:val="center"/>
          </w:tcPr>
          <w:p w14:paraId="2960223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800x400x800</w:t>
            </w:r>
          </w:p>
        </w:tc>
        <w:tc>
          <w:tcPr>
            <w:tcW w:w="483" w:type="dxa"/>
            <w:tcBorders>
              <w:top w:val="single" w:color="000000" w:sz="4" w:space="0"/>
              <w:left w:val="single" w:color="000000" w:sz="4" w:space="0"/>
              <w:bottom w:val="single" w:color="000000" w:sz="4" w:space="0"/>
              <w:right w:val="single" w:color="000000" w:sz="4" w:space="0"/>
            </w:tcBorders>
            <w:vAlign w:val="center"/>
          </w:tcPr>
          <w:p w14:paraId="76C29B8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vAlign w:val="center"/>
          </w:tcPr>
          <w:p w14:paraId="1A5EC10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0727B5B6">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4、粘合剂:采用高粘性热熔胶，符合GB 18583-2008《室内装饰装修材料 胶粘剂中有害物质限量》标准，苯≤0.01g/kg、甲苯+二甲苯含量≤0.05g/kg，二氯甲烷、1,2-二氯乙烷、1,1,2-三氯乙烷、三氯乙烯含量≤0.1g/kg，总挥发性有机物≤2g/kg。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5、铰链：符合QB/T 3827-1999《轻工产品金属镀层和化学处理层的耐腐蚀试验方法 乙酸盐雾试验(ASS)法》、QB/T 3832-1999《轻工产品金属镀层腐蚀试验结果的评价》标准，其中过载、功能性能合格，耐久性试验 600000 次无缺陷，乙酸盐雾测试 600h 耐腐蚀等级达到 10 级。（需提供本项目挂网之前的所有原材料检测报告作为佐证，否则不予采纳）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2365E51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695A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68A81A29">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7ACD1AF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w:t>
            </w:r>
          </w:p>
        </w:tc>
        <w:tc>
          <w:tcPr>
            <w:tcW w:w="402" w:type="dxa"/>
            <w:tcBorders>
              <w:top w:val="single" w:color="000000" w:sz="4" w:space="0"/>
              <w:left w:val="single" w:color="000000" w:sz="4" w:space="0"/>
              <w:bottom w:val="single" w:color="000000" w:sz="4" w:space="0"/>
              <w:right w:val="single" w:color="000000" w:sz="4" w:space="0"/>
            </w:tcBorders>
            <w:vAlign w:val="center"/>
          </w:tcPr>
          <w:p w14:paraId="2576235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长条桌</w:t>
            </w:r>
          </w:p>
        </w:tc>
        <w:tc>
          <w:tcPr>
            <w:tcW w:w="790" w:type="dxa"/>
            <w:tcBorders>
              <w:top w:val="single" w:color="000000" w:sz="4" w:space="0"/>
              <w:left w:val="single" w:color="000000" w:sz="4" w:space="0"/>
              <w:bottom w:val="single" w:color="000000" w:sz="4" w:space="0"/>
              <w:right w:val="single" w:color="000000" w:sz="4" w:space="0"/>
            </w:tcBorders>
            <w:vAlign w:val="center"/>
          </w:tcPr>
          <w:p w14:paraId="1903CDD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2000x1100x750</w:t>
            </w:r>
          </w:p>
        </w:tc>
        <w:tc>
          <w:tcPr>
            <w:tcW w:w="483" w:type="dxa"/>
            <w:tcBorders>
              <w:top w:val="single" w:color="000000" w:sz="4" w:space="0"/>
              <w:left w:val="single" w:color="000000" w:sz="4" w:space="0"/>
              <w:bottom w:val="single" w:color="000000" w:sz="4" w:space="0"/>
              <w:right w:val="single" w:color="000000" w:sz="4" w:space="0"/>
            </w:tcBorders>
            <w:vAlign w:val="center"/>
          </w:tcPr>
          <w:p w14:paraId="30D2993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vAlign w:val="center"/>
          </w:tcPr>
          <w:p w14:paraId="4E8975A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509C5BE0">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4、粘合剂:采用高粘性热熔胶，符合GB 18583-2008《室内装饰装修材料 胶粘剂中有害物质限量》标准，苯≤0.01g/kg、甲苯+二甲苯含量≤0.05g/kg，二氯甲烷、1,2-二氯乙烷、1,1,2-三氯乙烷、三氯乙烯含量≤0.1g/kg，总挥发性有机物≤2g/kg。（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3F87AE8D">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4DBD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2F334F08">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0C3F3BE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9</w:t>
            </w:r>
          </w:p>
        </w:tc>
        <w:tc>
          <w:tcPr>
            <w:tcW w:w="402" w:type="dxa"/>
            <w:tcBorders>
              <w:top w:val="single" w:color="000000" w:sz="4" w:space="0"/>
              <w:left w:val="single" w:color="000000" w:sz="4" w:space="0"/>
              <w:bottom w:val="single" w:color="000000" w:sz="4" w:space="0"/>
              <w:right w:val="single" w:color="000000" w:sz="4" w:space="0"/>
            </w:tcBorders>
            <w:vAlign w:val="center"/>
          </w:tcPr>
          <w:p w14:paraId="7F130BD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接待沙发含茶几</w:t>
            </w:r>
          </w:p>
        </w:tc>
        <w:tc>
          <w:tcPr>
            <w:tcW w:w="790" w:type="dxa"/>
            <w:tcBorders>
              <w:top w:val="single" w:color="000000" w:sz="4" w:space="0"/>
              <w:left w:val="single" w:color="000000" w:sz="4" w:space="0"/>
              <w:bottom w:val="single" w:color="000000" w:sz="4" w:space="0"/>
              <w:right w:val="single" w:color="000000" w:sz="4" w:space="0"/>
            </w:tcBorders>
            <w:vAlign w:val="center"/>
          </w:tcPr>
          <w:p w14:paraId="4E6337D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2个单人沙发+1个茶几。其中：单人沙发1000x900x960；茶几480x750x530</w:t>
            </w:r>
          </w:p>
        </w:tc>
        <w:tc>
          <w:tcPr>
            <w:tcW w:w="483" w:type="dxa"/>
            <w:tcBorders>
              <w:top w:val="single" w:color="000000" w:sz="4" w:space="0"/>
              <w:left w:val="single" w:color="000000" w:sz="4" w:space="0"/>
              <w:bottom w:val="single" w:color="000000" w:sz="4" w:space="0"/>
              <w:right w:val="single" w:color="000000" w:sz="4" w:space="0"/>
            </w:tcBorders>
            <w:vAlign w:val="center"/>
          </w:tcPr>
          <w:p w14:paraId="03C05A2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vAlign w:val="center"/>
          </w:tcPr>
          <w:p w14:paraId="2F57C47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套</w:t>
            </w:r>
          </w:p>
        </w:tc>
        <w:tc>
          <w:tcPr>
            <w:tcW w:w="5807" w:type="dxa"/>
            <w:tcBorders>
              <w:top w:val="single" w:color="000000" w:sz="4" w:space="0"/>
              <w:left w:val="single" w:color="000000" w:sz="4" w:space="0"/>
              <w:bottom w:val="single" w:color="000000" w:sz="4" w:space="0"/>
              <w:right w:val="single" w:color="000000" w:sz="4" w:space="0"/>
            </w:tcBorders>
            <w:vAlign w:val="center"/>
          </w:tcPr>
          <w:p w14:paraId="6780776C">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沙发：</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 xml:space="preserve">1、面料：优质绒布饰面，符合GB 18401-2010《国家纺织产品基本安全技术规范》标准，甲醛含量＜20mg/kg，PH值为6-7，染色牢度（耐水、耐酸汗渍、耐碱汗渍、耐干摩擦）≥3级，可分解芳香胺染料检验（24类）均未检出。                              </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2、海绵：采用高密度定型阻燃海绵，符合GB/T 10802-2006《通用软质聚醚型聚氨酯泡沫塑料》、QB/T 2280-2016《办公家具 办公椅》标准，长度极限偏差（＞1000-2000）为0~+15；颜色应均匀，允许轻微杂色黄芯，不允许有长度大于6mm的对穿孔和长度大于10mm的气孔；每平方米内弥和裂缝总长小于100mm，最大裂键小于30mm；片材两侧斜表皮宽度不超过厚度的一倍，并且最大不得超过40mm；无刺激性气味；25%压陷硬度为93±2N，65%25%压陷比≥2.0，75%压缩永久变形≤5%，回弹率≥40%，拉伸强度≥100 KPa，伸长率≥150%，撕裂强度≥1、贴面材料：采用优质实木皮，符合GB/T 17657-2013《人造板及饰面人造板理化性能试验方法》标准，厚度≥0.8mm，含水率为10-12%，甲醛释放量≤0.08mg/L。</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5、内木方：靠背及座架木方经杀菌、防潮、防腐、干燥处理。座垫内框采用十字交叉绷带，四周夹成板加固,内木条使用内螺栓加固结构。</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4、外木架：橡胶实木，漆面采用高级哑光漆，油漆饰面采用八遍打磨工艺(5遍底漆，3遍面漆)。</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茶几：</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restart"/>
            <w:tcBorders>
              <w:top w:val="single" w:color="000000" w:sz="4" w:space="0"/>
              <w:left w:val="single" w:color="000000" w:sz="4" w:space="0"/>
              <w:bottom w:val="single" w:color="000000" w:sz="4" w:space="0"/>
              <w:right w:val="single" w:color="000000" w:sz="12" w:space="0"/>
            </w:tcBorders>
            <w:vAlign w:val="center"/>
          </w:tcPr>
          <w:p w14:paraId="3D8F33D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二楼、三楼接待室（各1间）</w:t>
            </w:r>
          </w:p>
        </w:tc>
      </w:tr>
      <w:tr w14:paraId="54C2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3BB58F3C">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161B9B8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10</w:t>
            </w:r>
          </w:p>
        </w:tc>
        <w:tc>
          <w:tcPr>
            <w:tcW w:w="402" w:type="dxa"/>
            <w:tcBorders>
              <w:top w:val="single" w:color="000000" w:sz="4" w:space="0"/>
              <w:left w:val="single" w:color="000000" w:sz="4" w:space="0"/>
              <w:bottom w:val="single" w:color="000000" w:sz="4" w:space="0"/>
              <w:right w:val="single" w:color="000000" w:sz="4" w:space="0"/>
            </w:tcBorders>
            <w:vAlign w:val="center"/>
          </w:tcPr>
          <w:p w14:paraId="5E1061F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接待茶几</w:t>
            </w:r>
          </w:p>
        </w:tc>
        <w:tc>
          <w:tcPr>
            <w:tcW w:w="790" w:type="dxa"/>
            <w:tcBorders>
              <w:top w:val="single" w:color="000000" w:sz="4" w:space="0"/>
              <w:left w:val="single" w:color="000000" w:sz="4" w:space="0"/>
              <w:bottom w:val="single" w:color="000000" w:sz="4" w:space="0"/>
              <w:right w:val="single" w:color="000000" w:sz="4" w:space="0"/>
            </w:tcBorders>
            <w:vAlign w:val="center"/>
          </w:tcPr>
          <w:p w14:paraId="425E179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需与场景及沙发配套。480x750x530</w:t>
            </w:r>
          </w:p>
        </w:tc>
        <w:tc>
          <w:tcPr>
            <w:tcW w:w="483" w:type="dxa"/>
            <w:tcBorders>
              <w:top w:val="single" w:color="000000" w:sz="4" w:space="0"/>
              <w:left w:val="single" w:color="000000" w:sz="4" w:space="0"/>
              <w:bottom w:val="single" w:color="000000" w:sz="4" w:space="0"/>
              <w:right w:val="single" w:color="000000" w:sz="4" w:space="0"/>
            </w:tcBorders>
            <w:vAlign w:val="center"/>
          </w:tcPr>
          <w:p w14:paraId="0B405C3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vAlign w:val="center"/>
          </w:tcPr>
          <w:p w14:paraId="48E2853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个</w:t>
            </w:r>
          </w:p>
        </w:tc>
        <w:tc>
          <w:tcPr>
            <w:tcW w:w="5807" w:type="dxa"/>
            <w:tcBorders>
              <w:top w:val="single" w:color="000000" w:sz="4" w:space="0"/>
              <w:left w:val="single" w:color="000000" w:sz="4" w:space="0"/>
              <w:bottom w:val="single" w:color="000000" w:sz="4" w:space="0"/>
              <w:right w:val="single" w:color="000000" w:sz="4" w:space="0"/>
            </w:tcBorders>
            <w:vAlign w:val="center"/>
          </w:tcPr>
          <w:p w14:paraId="0742D4E0">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1162A167">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6ED1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0570090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30DFB7C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11</w:t>
            </w:r>
          </w:p>
        </w:tc>
        <w:tc>
          <w:tcPr>
            <w:tcW w:w="402" w:type="dxa"/>
            <w:tcBorders>
              <w:top w:val="single" w:color="000000" w:sz="4" w:space="0"/>
              <w:left w:val="single" w:color="000000" w:sz="4" w:space="0"/>
              <w:bottom w:val="single" w:color="000000" w:sz="4" w:space="0"/>
              <w:right w:val="single" w:color="000000" w:sz="4" w:space="0"/>
            </w:tcBorders>
            <w:vAlign w:val="center"/>
          </w:tcPr>
          <w:p w14:paraId="1348065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茶水柜</w:t>
            </w:r>
          </w:p>
        </w:tc>
        <w:tc>
          <w:tcPr>
            <w:tcW w:w="790" w:type="dxa"/>
            <w:tcBorders>
              <w:top w:val="single" w:color="000000" w:sz="4" w:space="0"/>
              <w:left w:val="single" w:color="000000" w:sz="4" w:space="0"/>
              <w:bottom w:val="single" w:color="000000" w:sz="4" w:space="0"/>
              <w:right w:val="single" w:color="000000" w:sz="4" w:space="0"/>
            </w:tcBorders>
            <w:vAlign w:val="center"/>
          </w:tcPr>
          <w:p w14:paraId="549281B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800x400x800</w:t>
            </w:r>
          </w:p>
        </w:tc>
        <w:tc>
          <w:tcPr>
            <w:tcW w:w="483" w:type="dxa"/>
            <w:tcBorders>
              <w:top w:val="single" w:color="000000" w:sz="4" w:space="0"/>
              <w:left w:val="single" w:color="000000" w:sz="4" w:space="0"/>
              <w:bottom w:val="single" w:color="000000" w:sz="4" w:space="0"/>
              <w:right w:val="single" w:color="000000" w:sz="4" w:space="0"/>
            </w:tcBorders>
            <w:vAlign w:val="center"/>
          </w:tcPr>
          <w:p w14:paraId="0778208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vAlign w:val="center"/>
          </w:tcPr>
          <w:p w14:paraId="766371A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5C2109A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2B331402">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0E03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8"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1CECC83F">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1E400B9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w:t>
            </w:r>
          </w:p>
        </w:tc>
        <w:tc>
          <w:tcPr>
            <w:tcW w:w="402" w:type="dxa"/>
            <w:tcBorders>
              <w:top w:val="single" w:color="000000" w:sz="4" w:space="0"/>
              <w:left w:val="single" w:color="000000" w:sz="4" w:space="0"/>
              <w:bottom w:val="single" w:color="000000" w:sz="4" w:space="0"/>
              <w:right w:val="single" w:color="000000" w:sz="4" w:space="0"/>
            </w:tcBorders>
            <w:vAlign w:val="center"/>
          </w:tcPr>
          <w:p w14:paraId="1EC3442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电脑桌椅</w:t>
            </w:r>
          </w:p>
        </w:tc>
        <w:tc>
          <w:tcPr>
            <w:tcW w:w="790" w:type="dxa"/>
            <w:tcBorders>
              <w:top w:val="single" w:color="000000" w:sz="4" w:space="0"/>
              <w:left w:val="single" w:color="000000" w:sz="4" w:space="0"/>
              <w:bottom w:val="single" w:color="000000" w:sz="4" w:space="0"/>
              <w:right w:val="single" w:color="000000" w:sz="4" w:space="0"/>
            </w:tcBorders>
            <w:vAlign w:val="center"/>
          </w:tcPr>
          <w:p w14:paraId="105F607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1桌2椅</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桌：1400x700x750椅：</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600x700x950</w:t>
            </w:r>
          </w:p>
        </w:tc>
        <w:tc>
          <w:tcPr>
            <w:tcW w:w="483" w:type="dxa"/>
            <w:tcBorders>
              <w:top w:val="single" w:color="000000" w:sz="4" w:space="0"/>
              <w:left w:val="single" w:color="000000" w:sz="4" w:space="0"/>
              <w:bottom w:val="single" w:color="000000" w:sz="4" w:space="0"/>
              <w:right w:val="single" w:color="000000" w:sz="4" w:space="0"/>
            </w:tcBorders>
            <w:vAlign w:val="center"/>
          </w:tcPr>
          <w:p w14:paraId="39B126C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9</w:t>
            </w:r>
          </w:p>
        </w:tc>
        <w:tc>
          <w:tcPr>
            <w:tcW w:w="435" w:type="dxa"/>
            <w:tcBorders>
              <w:top w:val="single" w:color="000000" w:sz="4" w:space="0"/>
              <w:left w:val="single" w:color="000000" w:sz="4" w:space="0"/>
              <w:bottom w:val="single" w:color="000000" w:sz="4" w:space="0"/>
              <w:right w:val="single" w:color="000000" w:sz="4" w:space="0"/>
            </w:tcBorders>
            <w:vAlign w:val="center"/>
          </w:tcPr>
          <w:p w14:paraId="193E4A3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套</w:t>
            </w:r>
          </w:p>
        </w:tc>
        <w:tc>
          <w:tcPr>
            <w:tcW w:w="5807" w:type="dxa"/>
            <w:tcBorders>
              <w:top w:val="single" w:color="000000" w:sz="4" w:space="0"/>
              <w:left w:val="single" w:color="000000" w:sz="4" w:space="0"/>
              <w:bottom w:val="single" w:color="000000" w:sz="4" w:space="0"/>
              <w:right w:val="single" w:color="000000" w:sz="4" w:space="0"/>
            </w:tcBorders>
            <w:vAlign w:val="center"/>
          </w:tcPr>
          <w:p w14:paraId="107970CC">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1、面材：优质耐磨三聚氰胺饰面纸饰面，符合LY/T 1831-2009《人造板饰面专用装饰纸》标准，耐热性≥1级，耐光色牢度（蓝色羊毛标准）≥6级，甲醛释放量未检出，挥发物含量为6~6.5%，装饰胶膜纸外观(印刷装饰胶膜纸)不允许有污斑、白点、皱褶、边角缺陷、裂纹、漏胶、粘连等，预固化度为30-50%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2、基材：采用绿色环保刨花板（实木颗粒板），符合HJ 571-2010《环境标志产品技术要求 人造板及其制品》、GB/T 35601-2017《绿色产品评价 人造板和木质地板》、GB 18580-2017《室内装饰装修材料 人造板及其制品中甲醛释放限量》、GB/T 4897-2015《刨花板》标准，板内密度偏差为±2.5%，静曲强度≥85Mpa，弹性模量≥6400Mpa，内结合强度≥1.2Mpa，表面结合强度≥0.9Mpa，2h 吸水厚度膨胀率≤1.5%，板面握螺钉力≥1600N，板边握螺钉力≥1450N，甲醛释放量未检出，TVOC≤40μg/m³。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3、封边热熔胶：符合GB 18583-2008《室内装饰装修材料 胶粘剂中有害物质限量》标准，苯未检出、甲苯+二甲苯含量未检出，二氯甲烷、1,2-二氯乙烷、1,1,2-三氯乙烷、三氯乙烯含量≤0.1g/kg，总挥发性有机物≤5g/kg。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4、PVC封边条：符合QB/T 4463-2013《家具用封边条技术要求》标准，耐干热、耐磨、耐开裂、耐冷热循环、耐光色牢度（灰色卡样）均检测合格，甲醛释放量未检出，氯乙烯单体≤0.1mg/kg，邻苯二甲酸酯（DBP、BBP、DEHP、DNOP、DINP、DIDP)的总量≤0.005%，多溴联苯、多溴联苯醚、可溶性铅、可溶性铬、可溶性镉、可溶性汞、可溶性硒、可溶性砷、可溶性锑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5、五金件：采用优质五金配件，五金配件紧密拼接，牢固，间隙细小且均匀，平整无毛刺。（需提供本项目挂网之前的所有原材料检测报告作为佐证，否则不予采纳）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6210782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四楼电教室</w:t>
            </w:r>
          </w:p>
        </w:tc>
      </w:tr>
      <w:tr w14:paraId="6B9A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38409118">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4B5984B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13</w:t>
            </w:r>
          </w:p>
        </w:tc>
        <w:tc>
          <w:tcPr>
            <w:tcW w:w="402" w:type="dxa"/>
            <w:tcBorders>
              <w:top w:val="single" w:color="000000" w:sz="4" w:space="0"/>
              <w:left w:val="single" w:color="000000" w:sz="4" w:space="0"/>
              <w:bottom w:val="single" w:color="000000" w:sz="4" w:space="0"/>
              <w:right w:val="single" w:color="000000" w:sz="4" w:space="0"/>
            </w:tcBorders>
            <w:vAlign w:val="center"/>
          </w:tcPr>
          <w:p w14:paraId="4A91FAA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主席台桌</w:t>
            </w:r>
          </w:p>
        </w:tc>
        <w:tc>
          <w:tcPr>
            <w:tcW w:w="790" w:type="dxa"/>
            <w:tcBorders>
              <w:top w:val="single" w:color="000000" w:sz="4" w:space="0"/>
              <w:left w:val="single" w:color="000000" w:sz="4" w:space="0"/>
              <w:bottom w:val="single" w:color="000000" w:sz="4" w:space="0"/>
              <w:right w:val="single" w:color="000000" w:sz="4" w:space="0"/>
            </w:tcBorders>
            <w:vAlign w:val="center"/>
          </w:tcPr>
          <w:p w14:paraId="3F1F04D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1400x600x750</w:t>
            </w:r>
          </w:p>
        </w:tc>
        <w:tc>
          <w:tcPr>
            <w:tcW w:w="483" w:type="dxa"/>
            <w:tcBorders>
              <w:top w:val="single" w:color="000000" w:sz="4" w:space="0"/>
              <w:left w:val="single" w:color="000000" w:sz="4" w:space="0"/>
              <w:bottom w:val="single" w:color="000000" w:sz="4" w:space="0"/>
              <w:right w:val="single" w:color="000000" w:sz="4" w:space="0"/>
            </w:tcBorders>
            <w:vAlign w:val="center"/>
          </w:tcPr>
          <w:p w14:paraId="3EB3E2F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vAlign w:val="center"/>
          </w:tcPr>
          <w:p w14:paraId="3839244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3DAD74A0">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restart"/>
            <w:tcBorders>
              <w:top w:val="single" w:color="000000" w:sz="4" w:space="0"/>
              <w:left w:val="single" w:color="000000" w:sz="4" w:space="0"/>
              <w:bottom w:val="single" w:color="000000" w:sz="4" w:space="0"/>
              <w:right w:val="single" w:color="000000" w:sz="12" w:space="0"/>
            </w:tcBorders>
            <w:vAlign w:val="center"/>
          </w:tcPr>
          <w:p w14:paraId="17B6AB0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四楼大会议室</w:t>
            </w:r>
          </w:p>
        </w:tc>
      </w:tr>
      <w:tr w14:paraId="4040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30F34248">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21716CD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14</w:t>
            </w:r>
          </w:p>
        </w:tc>
        <w:tc>
          <w:tcPr>
            <w:tcW w:w="402" w:type="dxa"/>
            <w:tcBorders>
              <w:top w:val="single" w:color="000000" w:sz="4" w:space="0"/>
              <w:left w:val="single" w:color="000000" w:sz="4" w:space="0"/>
              <w:bottom w:val="single" w:color="000000" w:sz="4" w:space="0"/>
              <w:right w:val="single" w:color="000000" w:sz="4" w:space="0"/>
            </w:tcBorders>
            <w:vAlign w:val="center"/>
          </w:tcPr>
          <w:p w14:paraId="54299FD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会议条桌</w:t>
            </w:r>
          </w:p>
        </w:tc>
        <w:tc>
          <w:tcPr>
            <w:tcW w:w="790" w:type="dxa"/>
            <w:tcBorders>
              <w:top w:val="single" w:color="000000" w:sz="4" w:space="0"/>
              <w:left w:val="single" w:color="000000" w:sz="4" w:space="0"/>
              <w:bottom w:val="single" w:color="000000" w:sz="4" w:space="0"/>
              <w:right w:val="single" w:color="000000" w:sz="4" w:space="0"/>
            </w:tcBorders>
            <w:vAlign w:val="center"/>
          </w:tcPr>
          <w:p w14:paraId="755493B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1200x400x750</w:t>
            </w:r>
          </w:p>
        </w:tc>
        <w:tc>
          <w:tcPr>
            <w:tcW w:w="483" w:type="dxa"/>
            <w:tcBorders>
              <w:top w:val="single" w:color="000000" w:sz="4" w:space="0"/>
              <w:left w:val="single" w:color="000000" w:sz="4" w:space="0"/>
              <w:bottom w:val="single" w:color="000000" w:sz="4" w:space="0"/>
              <w:right w:val="single" w:color="000000" w:sz="4" w:space="0"/>
            </w:tcBorders>
            <w:vAlign w:val="center"/>
          </w:tcPr>
          <w:p w14:paraId="0545974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w:t>
            </w:r>
          </w:p>
        </w:tc>
        <w:tc>
          <w:tcPr>
            <w:tcW w:w="435" w:type="dxa"/>
            <w:tcBorders>
              <w:top w:val="single" w:color="000000" w:sz="4" w:space="0"/>
              <w:left w:val="single" w:color="000000" w:sz="4" w:space="0"/>
              <w:bottom w:val="single" w:color="000000" w:sz="4" w:space="0"/>
              <w:right w:val="single" w:color="000000" w:sz="4" w:space="0"/>
            </w:tcBorders>
            <w:vAlign w:val="center"/>
          </w:tcPr>
          <w:p w14:paraId="34F9757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7ED4D15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49AA8E12">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472A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559EDFB8">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0F43012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15</w:t>
            </w:r>
          </w:p>
        </w:tc>
        <w:tc>
          <w:tcPr>
            <w:tcW w:w="402" w:type="dxa"/>
            <w:tcBorders>
              <w:top w:val="single" w:color="000000" w:sz="4" w:space="0"/>
              <w:left w:val="single" w:color="000000" w:sz="4" w:space="0"/>
              <w:bottom w:val="single" w:color="000000" w:sz="4" w:space="0"/>
              <w:right w:val="single" w:color="000000" w:sz="4" w:space="0"/>
            </w:tcBorders>
            <w:vAlign w:val="center"/>
          </w:tcPr>
          <w:p w14:paraId="7099ABC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演讲台桌</w:t>
            </w:r>
          </w:p>
        </w:tc>
        <w:tc>
          <w:tcPr>
            <w:tcW w:w="790" w:type="dxa"/>
            <w:tcBorders>
              <w:top w:val="single" w:color="000000" w:sz="4" w:space="0"/>
              <w:left w:val="single" w:color="000000" w:sz="4" w:space="0"/>
              <w:bottom w:val="single" w:color="000000" w:sz="4" w:space="0"/>
              <w:right w:val="single" w:color="000000" w:sz="4" w:space="0"/>
            </w:tcBorders>
            <w:vAlign w:val="center"/>
          </w:tcPr>
          <w:p w14:paraId="59D822F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760x510x1150</w:t>
            </w:r>
          </w:p>
        </w:tc>
        <w:tc>
          <w:tcPr>
            <w:tcW w:w="483" w:type="dxa"/>
            <w:tcBorders>
              <w:top w:val="single" w:color="000000" w:sz="4" w:space="0"/>
              <w:left w:val="single" w:color="000000" w:sz="4" w:space="0"/>
              <w:bottom w:val="single" w:color="000000" w:sz="4" w:space="0"/>
              <w:right w:val="single" w:color="000000" w:sz="4" w:space="0"/>
            </w:tcBorders>
            <w:vAlign w:val="center"/>
          </w:tcPr>
          <w:p w14:paraId="71634D9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vAlign w:val="center"/>
          </w:tcPr>
          <w:p w14:paraId="510291C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7EE20BF4">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45C48173">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5EE0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1AD7022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304626E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16</w:t>
            </w:r>
          </w:p>
        </w:tc>
        <w:tc>
          <w:tcPr>
            <w:tcW w:w="402" w:type="dxa"/>
            <w:tcBorders>
              <w:top w:val="single" w:color="000000" w:sz="4" w:space="0"/>
              <w:left w:val="single" w:color="000000" w:sz="4" w:space="0"/>
              <w:bottom w:val="single" w:color="000000" w:sz="4" w:space="0"/>
              <w:right w:val="single" w:color="000000" w:sz="4" w:space="0"/>
            </w:tcBorders>
            <w:vAlign w:val="center"/>
          </w:tcPr>
          <w:p w14:paraId="00814B2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茶水柜</w:t>
            </w:r>
          </w:p>
        </w:tc>
        <w:tc>
          <w:tcPr>
            <w:tcW w:w="790" w:type="dxa"/>
            <w:tcBorders>
              <w:top w:val="single" w:color="000000" w:sz="4" w:space="0"/>
              <w:left w:val="single" w:color="000000" w:sz="4" w:space="0"/>
              <w:bottom w:val="single" w:color="000000" w:sz="4" w:space="0"/>
              <w:right w:val="single" w:color="000000" w:sz="4" w:space="0"/>
            </w:tcBorders>
            <w:vAlign w:val="center"/>
          </w:tcPr>
          <w:p w14:paraId="0A1E8B1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1200x400x800</w:t>
            </w:r>
          </w:p>
        </w:tc>
        <w:tc>
          <w:tcPr>
            <w:tcW w:w="483" w:type="dxa"/>
            <w:tcBorders>
              <w:top w:val="single" w:color="000000" w:sz="4" w:space="0"/>
              <w:left w:val="single" w:color="000000" w:sz="4" w:space="0"/>
              <w:bottom w:val="single" w:color="000000" w:sz="4" w:space="0"/>
              <w:right w:val="single" w:color="000000" w:sz="4" w:space="0"/>
            </w:tcBorders>
            <w:vAlign w:val="center"/>
          </w:tcPr>
          <w:p w14:paraId="7C93F20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vAlign w:val="center"/>
          </w:tcPr>
          <w:p w14:paraId="0380B2C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0416B50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1CFB1A7E">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0A20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9"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3FB38DD7">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59276AD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17</w:t>
            </w:r>
          </w:p>
        </w:tc>
        <w:tc>
          <w:tcPr>
            <w:tcW w:w="402" w:type="dxa"/>
            <w:tcBorders>
              <w:top w:val="single" w:color="000000" w:sz="4" w:space="0"/>
              <w:left w:val="single" w:color="000000" w:sz="4" w:space="0"/>
              <w:bottom w:val="single" w:color="000000" w:sz="4" w:space="0"/>
              <w:right w:val="single" w:color="000000" w:sz="4" w:space="0"/>
            </w:tcBorders>
            <w:vAlign w:val="center"/>
          </w:tcPr>
          <w:p w14:paraId="72F44EC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阅读桌</w:t>
            </w:r>
          </w:p>
        </w:tc>
        <w:tc>
          <w:tcPr>
            <w:tcW w:w="790" w:type="dxa"/>
            <w:tcBorders>
              <w:top w:val="single" w:color="000000" w:sz="4" w:space="0"/>
              <w:left w:val="single" w:color="000000" w:sz="4" w:space="0"/>
              <w:bottom w:val="single" w:color="000000" w:sz="4" w:space="0"/>
              <w:right w:val="single" w:color="000000" w:sz="4" w:space="0"/>
            </w:tcBorders>
            <w:vAlign w:val="center"/>
          </w:tcPr>
          <w:p w14:paraId="4D42A75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1200x600x750</w:t>
            </w:r>
          </w:p>
        </w:tc>
        <w:tc>
          <w:tcPr>
            <w:tcW w:w="483" w:type="dxa"/>
            <w:tcBorders>
              <w:top w:val="single" w:color="000000" w:sz="4" w:space="0"/>
              <w:left w:val="single" w:color="000000" w:sz="4" w:space="0"/>
              <w:bottom w:val="single" w:color="000000" w:sz="4" w:space="0"/>
              <w:right w:val="single" w:color="000000" w:sz="4" w:space="0"/>
            </w:tcBorders>
            <w:vAlign w:val="center"/>
          </w:tcPr>
          <w:p w14:paraId="081C948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vAlign w:val="center"/>
          </w:tcPr>
          <w:p w14:paraId="219DBDE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0F5AB9E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1、白蜡木：甲醛释放量≤ 0.1mg/L，含水率为9~10%。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2、油漆：采用优质环保水性面漆与水性底漆相结合，符合GB 18581-2020《木器涂料中有限物质限量》标准，总铅含量（限色漆、腻子）≤3mg/kg，可溶性重金属铬、可溶性重金属镉、可溶性重金属汞检测均为≤0.35mg/kg，乙二醇醚及醚酯总和含量未检出，苯系物总和含量[限苯、甲苯、二甲苯(含乙苯)]未检出，烷基酚聚氧乙烯醚总和含量未检出，VOC 含量≤40g/L，甲醛含量≤16mg/kg。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3、五金件:采用优质五金配件，五金配件紧密拼接，牢固，间隙细小且均匀，平整无毛刺。（需提供本项目挂网之前的所有原材料检测报告作为佐证，否则不予采纳）</w:t>
            </w:r>
          </w:p>
        </w:tc>
        <w:tc>
          <w:tcPr>
            <w:tcW w:w="475" w:type="dxa"/>
            <w:vMerge w:val="restart"/>
            <w:tcBorders>
              <w:top w:val="single" w:color="000000" w:sz="4" w:space="0"/>
              <w:left w:val="single" w:color="000000" w:sz="4" w:space="0"/>
              <w:bottom w:val="single" w:color="000000" w:sz="4" w:space="0"/>
              <w:right w:val="single" w:color="000000" w:sz="12" w:space="0"/>
            </w:tcBorders>
            <w:vAlign w:val="center"/>
          </w:tcPr>
          <w:p w14:paraId="5751224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四楼读书区域</w:t>
            </w:r>
          </w:p>
        </w:tc>
      </w:tr>
      <w:tr w14:paraId="273E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6A27A4A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6932C79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18</w:t>
            </w:r>
          </w:p>
        </w:tc>
        <w:tc>
          <w:tcPr>
            <w:tcW w:w="402" w:type="dxa"/>
            <w:tcBorders>
              <w:top w:val="single" w:color="000000" w:sz="4" w:space="0"/>
              <w:left w:val="single" w:color="000000" w:sz="4" w:space="0"/>
              <w:bottom w:val="single" w:color="000000" w:sz="4" w:space="0"/>
              <w:right w:val="single" w:color="000000" w:sz="4" w:space="0"/>
            </w:tcBorders>
            <w:vAlign w:val="center"/>
          </w:tcPr>
          <w:p w14:paraId="6B78DF6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阅读椅</w:t>
            </w:r>
          </w:p>
        </w:tc>
        <w:tc>
          <w:tcPr>
            <w:tcW w:w="790" w:type="dxa"/>
            <w:tcBorders>
              <w:top w:val="single" w:color="000000" w:sz="4" w:space="0"/>
              <w:left w:val="single" w:color="000000" w:sz="4" w:space="0"/>
              <w:bottom w:val="single" w:color="000000" w:sz="4" w:space="0"/>
              <w:right w:val="single" w:color="000000" w:sz="4" w:space="0"/>
            </w:tcBorders>
            <w:vAlign w:val="center"/>
          </w:tcPr>
          <w:p w14:paraId="53D575A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420x480x850</w:t>
            </w:r>
          </w:p>
        </w:tc>
        <w:tc>
          <w:tcPr>
            <w:tcW w:w="483" w:type="dxa"/>
            <w:tcBorders>
              <w:top w:val="single" w:color="000000" w:sz="4" w:space="0"/>
              <w:left w:val="single" w:color="000000" w:sz="4" w:space="0"/>
              <w:bottom w:val="single" w:color="000000" w:sz="4" w:space="0"/>
              <w:right w:val="single" w:color="000000" w:sz="4" w:space="0"/>
            </w:tcBorders>
            <w:vAlign w:val="center"/>
          </w:tcPr>
          <w:p w14:paraId="5BCD0F0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16</w:t>
            </w:r>
          </w:p>
        </w:tc>
        <w:tc>
          <w:tcPr>
            <w:tcW w:w="435" w:type="dxa"/>
            <w:tcBorders>
              <w:top w:val="single" w:color="000000" w:sz="4" w:space="0"/>
              <w:left w:val="single" w:color="000000" w:sz="4" w:space="0"/>
              <w:bottom w:val="single" w:color="000000" w:sz="4" w:space="0"/>
              <w:right w:val="single" w:color="000000" w:sz="4" w:space="0"/>
            </w:tcBorders>
            <w:vAlign w:val="center"/>
          </w:tcPr>
          <w:p w14:paraId="6BC77AA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把</w:t>
            </w:r>
          </w:p>
        </w:tc>
        <w:tc>
          <w:tcPr>
            <w:tcW w:w="5807" w:type="dxa"/>
            <w:tcBorders>
              <w:top w:val="single" w:color="000000" w:sz="4" w:space="0"/>
              <w:left w:val="single" w:color="000000" w:sz="4" w:space="0"/>
              <w:bottom w:val="single" w:color="000000" w:sz="4" w:space="0"/>
              <w:right w:val="single" w:color="000000" w:sz="4" w:space="0"/>
            </w:tcBorders>
            <w:vAlign w:val="center"/>
          </w:tcPr>
          <w:p w14:paraId="6F07EF69">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1、白蜡木：甲醛释放量≤ 0.1mg/L，含水率为9~10%。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2、靠背及坐垫：软包面料采用优质绒布，符合GB 18401-2010《国家纺织产品基本安全技术规范》标准，符合GB 18401-2010《国家纺织产品基本安全技术规范》标准，甲醛含量＜20mg/kg，PH值为6-7，染色牢度（耐水、耐酸汗渍、耐碱汗渍、耐干摩擦）≥3级，可分解芳香胺染料检验（24类）均未检出。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3、油漆：采用优质环保水性面漆与水性底漆相结合，符合GB 18581-2020《木器涂料中有限物质限量》标准，总铅含量（限色漆、腻子）≤3mg/kg，可溶性重金属铬、可溶性重金属镉、可溶性重金属汞检测均为≤0.35mg/kg，乙二醇醚及醚酯总和含量未检出，苯系物总和含量[限苯、甲苯、二甲苯(含乙苯)]未检出，烷基酚聚氧乙烯醚总和含量未检出，VOC 含量≤40g/L，甲醛含量≤16mg/kg。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4、五金件:采用优质五金配件，五金配件紧密拼接，牢固，间隙细小且均匀，平整无毛刺。（需提供本项目挂网之前的所有原材料检测报告作为佐证，否则不予采纳）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1856FD7A">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2FB3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7F1C3333">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2659D0F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19</w:t>
            </w:r>
          </w:p>
        </w:tc>
        <w:tc>
          <w:tcPr>
            <w:tcW w:w="402" w:type="dxa"/>
            <w:tcBorders>
              <w:top w:val="single" w:color="000000" w:sz="4" w:space="0"/>
              <w:left w:val="single" w:color="000000" w:sz="4" w:space="0"/>
              <w:bottom w:val="single" w:color="000000" w:sz="4" w:space="0"/>
              <w:right w:val="single" w:color="000000" w:sz="4" w:space="0"/>
            </w:tcBorders>
            <w:vAlign w:val="center"/>
          </w:tcPr>
          <w:p w14:paraId="5D7E6C5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书架</w:t>
            </w:r>
          </w:p>
        </w:tc>
        <w:tc>
          <w:tcPr>
            <w:tcW w:w="790" w:type="dxa"/>
            <w:tcBorders>
              <w:top w:val="single" w:color="000000" w:sz="4" w:space="0"/>
              <w:left w:val="single" w:color="000000" w:sz="4" w:space="0"/>
              <w:bottom w:val="single" w:color="000000" w:sz="4" w:space="0"/>
              <w:right w:val="single" w:color="000000" w:sz="4" w:space="0"/>
            </w:tcBorders>
            <w:vAlign w:val="center"/>
          </w:tcPr>
          <w:p w14:paraId="557AF6C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3400x400x2200</w:t>
            </w:r>
          </w:p>
        </w:tc>
        <w:tc>
          <w:tcPr>
            <w:tcW w:w="483" w:type="dxa"/>
            <w:tcBorders>
              <w:top w:val="single" w:color="000000" w:sz="4" w:space="0"/>
              <w:left w:val="single" w:color="000000" w:sz="4" w:space="0"/>
              <w:bottom w:val="single" w:color="000000" w:sz="4" w:space="0"/>
              <w:right w:val="single" w:color="000000" w:sz="4" w:space="0"/>
            </w:tcBorders>
            <w:vAlign w:val="center"/>
          </w:tcPr>
          <w:p w14:paraId="19094D7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vAlign w:val="center"/>
          </w:tcPr>
          <w:p w14:paraId="39FE441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34A3059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070F376C">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42BB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3FC4E3D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315DC4D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w:t>
            </w:r>
          </w:p>
        </w:tc>
        <w:tc>
          <w:tcPr>
            <w:tcW w:w="402" w:type="dxa"/>
            <w:tcBorders>
              <w:top w:val="single" w:color="000000" w:sz="4" w:space="0"/>
              <w:left w:val="single" w:color="000000" w:sz="4" w:space="0"/>
              <w:bottom w:val="single" w:color="000000" w:sz="4" w:space="0"/>
              <w:right w:val="single" w:color="000000" w:sz="4" w:space="0"/>
            </w:tcBorders>
            <w:vAlign w:val="center"/>
          </w:tcPr>
          <w:p w14:paraId="2261D23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会议桌</w:t>
            </w:r>
          </w:p>
        </w:tc>
        <w:tc>
          <w:tcPr>
            <w:tcW w:w="790" w:type="dxa"/>
            <w:tcBorders>
              <w:top w:val="single" w:color="000000" w:sz="4" w:space="0"/>
              <w:left w:val="single" w:color="000000" w:sz="4" w:space="0"/>
              <w:bottom w:val="single" w:color="000000" w:sz="4" w:space="0"/>
              <w:right w:val="single" w:color="000000" w:sz="4" w:space="0"/>
            </w:tcBorders>
            <w:vAlign w:val="center"/>
          </w:tcPr>
          <w:p w14:paraId="46E9933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5500x1800x750</w:t>
            </w:r>
          </w:p>
        </w:tc>
        <w:tc>
          <w:tcPr>
            <w:tcW w:w="483" w:type="dxa"/>
            <w:tcBorders>
              <w:top w:val="single" w:color="000000" w:sz="4" w:space="0"/>
              <w:left w:val="single" w:color="000000" w:sz="4" w:space="0"/>
              <w:bottom w:val="single" w:color="000000" w:sz="4" w:space="0"/>
              <w:right w:val="single" w:color="000000" w:sz="4" w:space="0"/>
            </w:tcBorders>
            <w:vAlign w:val="center"/>
          </w:tcPr>
          <w:p w14:paraId="15EAA1A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vAlign w:val="center"/>
          </w:tcPr>
          <w:p w14:paraId="519EA34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54B2745A">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restart"/>
            <w:tcBorders>
              <w:top w:val="single" w:color="000000" w:sz="4" w:space="0"/>
              <w:left w:val="single" w:color="000000" w:sz="4" w:space="0"/>
              <w:bottom w:val="single" w:color="000000" w:sz="4" w:space="0"/>
              <w:right w:val="single" w:color="000000" w:sz="12" w:space="0"/>
            </w:tcBorders>
            <w:vAlign w:val="center"/>
          </w:tcPr>
          <w:p w14:paraId="5700D25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三楼会议室（32人）</w:t>
            </w:r>
          </w:p>
        </w:tc>
      </w:tr>
      <w:tr w14:paraId="5335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100C5E30">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761F5C1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21</w:t>
            </w:r>
          </w:p>
        </w:tc>
        <w:tc>
          <w:tcPr>
            <w:tcW w:w="402" w:type="dxa"/>
            <w:tcBorders>
              <w:top w:val="single" w:color="000000" w:sz="4" w:space="0"/>
              <w:left w:val="single" w:color="000000" w:sz="4" w:space="0"/>
              <w:bottom w:val="single" w:color="000000" w:sz="4" w:space="0"/>
              <w:right w:val="single" w:color="000000" w:sz="4" w:space="0"/>
            </w:tcBorders>
            <w:vAlign w:val="center"/>
          </w:tcPr>
          <w:p w14:paraId="179331C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茶水柜</w:t>
            </w:r>
          </w:p>
        </w:tc>
        <w:tc>
          <w:tcPr>
            <w:tcW w:w="790" w:type="dxa"/>
            <w:tcBorders>
              <w:top w:val="single" w:color="000000" w:sz="4" w:space="0"/>
              <w:left w:val="single" w:color="000000" w:sz="4" w:space="0"/>
              <w:bottom w:val="single" w:color="000000" w:sz="4" w:space="0"/>
              <w:right w:val="single" w:color="000000" w:sz="4" w:space="0"/>
            </w:tcBorders>
            <w:vAlign w:val="center"/>
          </w:tcPr>
          <w:p w14:paraId="08B9786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1200x400x800</w:t>
            </w:r>
          </w:p>
        </w:tc>
        <w:tc>
          <w:tcPr>
            <w:tcW w:w="483" w:type="dxa"/>
            <w:tcBorders>
              <w:top w:val="single" w:color="000000" w:sz="4" w:space="0"/>
              <w:left w:val="single" w:color="000000" w:sz="4" w:space="0"/>
              <w:bottom w:val="single" w:color="000000" w:sz="4" w:space="0"/>
              <w:right w:val="single" w:color="000000" w:sz="4" w:space="0"/>
            </w:tcBorders>
            <w:vAlign w:val="center"/>
          </w:tcPr>
          <w:p w14:paraId="4C6AEB3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vAlign w:val="center"/>
          </w:tcPr>
          <w:p w14:paraId="15ADA63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666AE6B8">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0498168C">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489A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49CBC0A7">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0B45EFC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22</w:t>
            </w:r>
          </w:p>
        </w:tc>
        <w:tc>
          <w:tcPr>
            <w:tcW w:w="402" w:type="dxa"/>
            <w:tcBorders>
              <w:top w:val="single" w:color="000000" w:sz="4" w:space="0"/>
              <w:left w:val="single" w:color="000000" w:sz="4" w:space="0"/>
              <w:bottom w:val="single" w:color="000000" w:sz="4" w:space="0"/>
              <w:right w:val="single" w:color="000000" w:sz="4" w:space="0"/>
            </w:tcBorders>
            <w:vAlign w:val="center"/>
          </w:tcPr>
          <w:p w14:paraId="5AA8222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会议桌</w:t>
            </w:r>
          </w:p>
        </w:tc>
        <w:tc>
          <w:tcPr>
            <w:tcW w:w="790" w:type="dxa"/>
            <w:tcBorders>
              <w:top w:val="single" w:color="000000" w:sz="4" w:space="0"/>
              <w:left w:val="single" w:color="000000" w:sz="4" w:space="0"/>
              <w:bottom w:val="single" w:color="000000" w:sz="4" w:space="0"/>
              <w:right w:val="single" w:color="000000" w:sz="4" w:space="0"/>
            </w:tcBorders>
            <w:vAlign w:val="center"/>
          </w:tcPr>
          <w:p w14:paraId="4BA401E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3800x1200x750</w:t>
            </w:r>
          </w:p>
        </w:tc>
        <w:tc>
          <w:tcPr>
            <w:tcW w:w="483" w:type="dxa"/>
            <w:tcBorders>
              <w:top w:val="single" w:color="000000" w:sz="4" w:space="0"/>
              <w:left w:val="single" w:color="000000" w:sz="4" w:space="0"/>
              <w:bottom w:val="single" w:color="000000" w:sz="4" w:space="0"/>
              <w:right w:val="single" w:color="000000" w:sz="4" w:space="0"/>
            </w:tcBorders>
            <w:vAlign w:val="center"/>
          </w:tcPr>
          <w:p w14:paraId="082B40C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vAlign w:val="center"/>
          </w:tcPr>
          <w:p w14:paraId="55F2D2A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506A7372">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restart"/>
            <w:tcBorders>
              <w:top w:val="single" w:color="000000" w:sz="4" w:space="0"/>
              <w:left w:val="single" w:color="000000" w:sz="4" w:space="0"/>
              <w:bottom w:val="single" w:color="000000" w:sz="4" w:space="0"/>
              <w:right w:val="single" w:color="000000" w:sz="12" w:space="0"/>
            </w:tcBorders>
            <w:vAlign w:val="center"/>
          </w:tcPr>
          <w:p w14:paraId="7304EEA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三楼党建活动室</w:t>
            </w:r>
          </w:p>
        </w:tc>
      </w:tr>
      <w:tr w14:paraId="6390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43E0835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296B145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23</w:t>
            </w:r>
          </w:p>
        </w:tc>
        <w:tc>
          <w:tcPr>
            <w:tcW w:w="402" w:type="dxa"/>
            <w:tcBorders>
              <w:top w:val="single" w:color="000000" w:sz="4" w:space="0"/>
              <w:left w:val="single" w:color="000000" w:sz="4" w:space="0"/>
              <w:bottom w:val="single" w:color="000000" w:sz="4" w:space="0"/>
              <w:right w:val="single" w:color="000000" w:sz="4" w:space="0"/>
            </w:tcBorders>
            <w:vAlign w:val="center"/>
          </w:tcPr>
          <w:p w14:paraId="60029BF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茶水柜</w:t>
            </w:r>
          </w:p>
        </w:tc>
        <w:tc>
          <w:tcPr>
            <w:tcW w:w="790" w:type="dxa"/>
            <w:tcBorders>
              <w:top w:val="single" w:color="000000" w:sz="4" w:space="0"/>
              <w:left w:val="single" w:color="000000" w:sz="4" w:space="0"/>
              <w:bottom w:val="single" w:color="000000" w:sz="4" w:space="0"/>
              <w:right w:val="single" w:color="000000" w:sz="4" w:space="0"/>
            </w:tcBorders>
            <w:vAlign w:val="center"/>
          </w:tcPr>
          <w:p w14:paraId="642DEFC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800x400x800</w:t>
            </w:r>
          </w:p>
        </w:tc>
        <w:tc>
          <w:tcPr>
            <w:tcW w:w="483" w:type="dxa"/>
            <w:tcBorders>
              <w:top w:val="single" w:color="000000" w:sz="4" w:space="0"/>
              <w:left w:val="single" w:color="000000" w:sz="4" w:space="0"/>
              <w:bottom w:val="single" w:color="000000" w:sz="4" w:space="0"/>
              <w:right w:val="single" w:color="000000" w:sz="4" w:space="0"/>
            </w:tcBorders>
            <w:vAlign w:val="center"/>
          </w:tcPr>
          <w:p w14:paraId="7C278B1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vAlign w:val="center"/>
          </w:tcPr>
          <w:p w14:paraId="2F13613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5AD80664">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1、贴面材料：采用优质实木皮,符合GB/T 17657-2013《人造板及饰面人造板理化性能试验方法》标准，厚度≥0.8mm，含水率为5~6%，甲醛释放量未检出。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2、封边用材：与贴面相同的实木木材，符合QB/T 4463-2013《家具用封边条技术要求》标准，甲醛释放量未检出。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3、基材：采用品牌环保E0级中密度纤维板，符合HJ 571-2010《环境标志产品技术要求 人造板及其制品》、GB/T 35601-2017《绿色产品评价 人造板和木质地板》、GB 18580-2017《室内装饰装修材料 人造板及其制品中甲醛释放限量》标准，板材含水率5~6%，密度为0.65-0.8g/cm³，静曲强度≥95Mpa，弹性模量≥6100Mpa，内结合强度≥1.2Mpa，吸水厚度膨胀率≤2%，表面结合强度≥1.53Mpa，甲醛释放量（穿孔萃取法）≤5.0mg/100g，甲醛释放量（气候箱法）未检出，总挥发性有机化合物（TVOC）≤40μg/m³。（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vAlign w:val="center"/>
          </w:tcPr>
          <w:p w14:paraId="3C399AE2">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4D55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6E19332">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C6A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24</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EB0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沙发</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3A0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 xml:space="preserve"> 3+3+1+1+1                                                                                                                                                                                                                 2个三人沙发+2个单人沙发+1个茶几</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三人沙发</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2050x</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880x950；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单人沙发980x880x950；茶几1200x600x450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415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311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套</w:t>
            </w:r>
          </w:p>
        </w:tc>
        <w:tc>
          <w:tcPr>
            <w:tcW w:w="5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0FD6">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1、饰面：采用头层牛皮，符合GB/T 16799-2018《家具用皮革》标准，撕裂力≥90N，摩擦色牢度干擦（800次）、湿擦（500次）、碱性汗液（120次）达到≥4级，气味≤2级，耐光性≥5级，耐磨性符合要求，禁用偶氮染料（23类）的含量未检出、游离甲醛含量未检出，挥发性有机化合物≤20mg/kg，PH值≥9.8，可萃取重金属铅含量、镉含量均为≤0.6mg/kg，皮革平整、柔软、丰满有弹性。</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2、海绵：采用高密度定型阻燃海绵，符合GB/T 10802-2006《通用软质聚醚型聚氨酯泡沫塑料》、QB/T 2280-2016《办公家具 办公椅》标准，长度极限偏差（＞1000-2000）为0~+15；颜色应均匀，允许轻微杂色黄芯，不允许有长度大于6mm的对穿孔和长度大于10mm的气孔；每平方米内弥和裂缝总长小于100mm，最大裂键小于30mm；片材两侧斜表皮宽度不超过厚度的一倍，并且最大不得超过40mm；无刺激性气味；25%压陷硬度为93±2N，65%25%压陷比≥2.0，75%压缩永久变形≤5%，回弹率≥40%，拉伸强度≥100 KPa，伸长率≥150%，撕裂强度≥2.8N/cm，干热老化后拉伸强度≥120KPa，湿热老化后拉伸强度变化率为±15%，TVOC≤0.1mg/㎡ h；表面和内部未出现任何续燃、阴燃现象，通过香烟抗引燃特性试验。</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3、气压棒：优质气压棒，符合GB/T 29525-2013标准，密封性能合格，气弹簧经-30℃和60℃高低温储存后，公称力Fa衰减量≤0.5%，循环寿命试验合格。</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4、油漆：采用环保PU油漆，采用五底三面的八道油漆涂装工艺，保证产品光泽、平整、纹理清晰、环保，符合GB 18581-2020标准，可溶性重金属铬、可溶性重金属镉、可溶性重金属汞检测均为≤2mg/kg，乙二醇醚及醚酯总和含量≤0.5mg/kg，苯含量≤0.001%，多环芳烃总和含量≤0.1mg/kg，卤代烃总和含量≤0.02%，VOC 含量≤280mg/kg，总铅含量≤2mg/kg。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5、实木架：优质橡胶木原料，胡桃木皮饰面，高强度不变型。橡胶木：GB 18584-2001《室内装饰装修材料木家具中有害物质限量》标准，甲醛释放量≤ 0.1mg/L，含水率为8~10.5%。（需提供本项目挂网之前的所有原材料检测报告作为佐证，否则不予采纳）</w:t>
            </w:r>
          </w:p>
        </w:tc>
        <w:tc>
          <w:tcPr>
            <w:tcW w:w="475"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14:paraId="54AD81D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二楼、三楼休息区</w:t>
            </w:r>
          </w:p>
        </w:tc>
      </w:tr>
      <w:tr w14:paraId="6885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3EBC4C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957B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875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沙发</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6BB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3+1+1+1</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1个三人沙发+2个单人沙发+1个茶几</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三人沙发2050x880x950；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单人沙发980x880x950；茶几1200x600x450</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27AC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23D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套</w:t>
            </w:r>
          </w:p>
        </w:tc>
        <w:tc>
          <w:tcPr>
            <w:tcW w:w="5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4F01">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1、饰面：采用头层牛皮，符合GB/T 16799-2018《家具用皮革》标准，撕裂力≥90N，摩擦色牢度干擦（800次）、湿擦（500次）、碱性汗液（120次）达到≥4级，气味≤2级，耐光性≥5级，耐磨性符合要求，禁用偶氮染料（23类）的含量未检出、游离甲醛含量未检出，挥发性有机化合物≤20mg/kg，PH值≥9.8，可萃取重金属铅含量、镉含量均为≤0.6mg/kg，皮革平整、柔软、丰满有弹性。</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2、海绵：采用高密度定型阻燃海绵，符合GB/T 10802-2006《通用软质聚醚型聚氨酯泡沫塑料》、QB/T 2280-2016《办公家具 办公椅》标准，长度极限偏差（＞1000-2000）为0~+15；颜色应均匀，允许轻微杂色黄芯，不允许有长度大于6mm的对穿孔和长度大于10mm的气孔；每平方米内弥和裂缝总长小于100mm，最大裂键小于30mm；片材两侧斜表皮宽度不超过厚度的一倍，并且最大不得超过40mm；无刺激性气味；25%压陷硬度为93±2N，65%25%压陷比≥2.0，75%压缩永久变形≤5%，回弹率≥40%，拉伸强度≥100 KPa，伸长率≥150%，撕裂强度≥2.8N/cm，干热老化后拉伸强度≥120KPa，湿热老化后拉伸强度变化率为±15%，TVOC≤0.1mg/㎡ h；表面和内部未出现任何续燃、阴燃现象，通过香烟抗引燃特性试验。</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3、气压棒：优质气压棒，符合GB/T 29525-2013标准，密封性能合格，气弹簧经-30℃和60℃高低温储存后，公称力Fa衰减量≤0.5%，循环寿命试验合格。</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4、油漆：采用环保PU油漆，采用五底三面的八道油漆涂装工艺，保证产品光泽、平整、纹理清晰、环保，符合GB 18581-2020标准，可溶性重金属铬、可溶性重金属镉、可溶性重金属汞检测均为≤2mg/kg，乙二醇醚及醚酯总和含量≤0.5mg/kg，苯含量≤0.001%，多环芳烃总和含量≤0.1mg/kg，卤代烃总和含量≤0.02%，VOC 含量≤280mg/kg，总铅含量≤2mg/kg。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5、实木架：优质橡胶木原料，胡桃木皮饰面，高强度不变型。橡胶木：GB 18584-2001《室内装饰装修材料木家具中有害物质限量》标准，甲醛释放量≤ 0.1mg/L，含水率为8~10.5%。</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6、脚轮：灵活无破损、连接牢固，受压力强，滑动无杂音，符合QB/T 5224-2018标准，外观配置、抗冲击性能、动载荷性能、静载荷性能均符合要求。（需提供本项目挂网之前的所有原材料检测报告作为佐证，否则不予采纳）</w:t>
            </w:r>
          </w:p>
        </w:tc>
        <w:tc>
          <w:tcPr>
            <w:tcW w:w="475"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14:paraId="2388482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7690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jc w:val="center"/>
        </w:trPr>
        <w:tc>
          <w:tcPr>
            <w:tcW w:w="340" w:type="dxa"/>
            <w:vMerge w:val="restart"/>
            <w:tcBorders>
              <w:top w:val="single" w:color="000000" w:sz="4" w:space="0"/>
              <w:left w:val="single" w:color="000000" w:sz="12" w:space="0"/>
              <w:bottom w:val="single" w:color="000000" w:sz="4" w:space="0"/>
              <w:right w:val="single" w:color="000000" w:sz="4" w:space="0"/>
            </w:tcBorders>
            <w:vAlign w:val="center"/>
          </w:tcPr>
          <w:p w14:paraId="4CC3990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格尔木分行宿舍家具</w:t>
            </w:r>
          </w:p>
        </w:tc>
        <w:tc>
          <w:tcPr>
            <w:tcW w:w="339" w:type="dxa"/>
            <w:tcBorders>
              <w:top w:val="single" w:color="000000" w:sz="4" w:space="0"/>
              <w:left w:val="single" w:color="000000" w:sz="4" w:space="0"/>
              <w:bottom w:val="single" w:color="000000" w:sz="4" w:space="0"/>
              <w:right w:val="single" w:color="000000" w:sz="4" w:space="0"/>
            </w:tcBorders>
            <w:vAlign w:val="center"/>
          </w:tcPr>
          <w:p w14:paraId="31D4206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02" w:type="dxa"/>
            <w:tcBorders>
              <w:top w:val="single" w:color="000000" w:sz="4" w:space="0"/>
              <w:left w:val="single" w:color="000000" w:sz="4" w:space="0"/>
              <w:bottom w:val="single" w:color="000000" w:sz="4" w:space="0"/>
              <w:right w:val="single" w:color="000000" w:sz="4" w:space="0"/>
            </w:tcBorders>
            <w:vAlign w:val="center"/>
          </w:tcPr>
          <w:p w14:paraId="2904255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床</w:t>
            </w:r>
          </w:p>
        </w:tc>
        <w:tc>
          <w:tcPr>
            <w:tcW w:w="790" w:type="dxa"/>
            <w:tcBorders>
              <w:top w:val="single" w:color="000000" w:sz="4" w:space="0"/>
              <w:left w:val="single" w:color="000000" w:sz="4" w:space="0"/>
              <w:bottom w:val="single" w:color="000000" w:sz="4" w:space="0"/>
              <w:right w:val="single" w:color="000000" w:sz="4" w:space="0"/>
            </w:tcBorders>
            <w:vAlign w:val="center"/>
          </w:tcPr>
          <w:p w14:paraId="7D6581A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1500x2000x1000</w:t>
            </w:r>
          </w:p>
        </w:tc>
        <w:tc>
          <w:tcPr>
            <w:tcW w:w="483" w:type="dxa"/>
            <w:tcBorders>
              <w:top w:val="single" w:color="000000" w:sz="4" w:space="0"/>
              <w:left w:val="single" w:color="000000" w:sz="4" w:space="0"/>
              <w:bottom w:val="single" w:color="000000" w:sz="4" w:space="0"/>
              <w:right w:val="single" w:color="000000" w:sz="4" w:space="0"/>
            </w:tcBorders>
            <w:vAlign w:val="center"/>
          </w:tcPr>
          <w:p w14:paraId="67F1836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52</w:t>
            </w:r>
          </w:p>
        </w:tc>
        <w:tc>
          <w:tcPr>
            <w:tcW w:w="435" w:type="dxa"/>
            <w:tcBorders>
              <w:top w:val="single" w:color="000000" w:sz="4" w:space="0"/>
              <w:left w:val="single" w:color="000000" w:sz="4" w:space="0"/>
              <w:bottom w:val="single" w:color="000000" w:sz="4" w:space="0"/>
              <w:right w:val="single" w:color="000000" w:sz="4" w:space="0"/>
            </w:tcBorders>
            <w:vAlign w:val="center"/>
          </w:tcPr>
          <w:p w14:paraId="45AC03D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28642DA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1、面材：优质耐磨三聚氰胺饰面纸饰面，符合LY/T 1831-2009《人造板饰面专用装饰纸》标准，耐热性≥1级，耐光色牢度（蓝色羊毛标准）≥6级，甲醛释放量未检出，挥发物含量为6~6.5%，装饰胶膜纸外观(印刷装饰胶膜纸)不允许有污斑、白点、皱褶、边角缺陷、裂纹、漏胶、粘连等，预固化度为30-50%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2、基材：采用绿色环保刨花板（实木颗粒板），符合HJ 571-2010《环境标志产品技术要求 人造板及其制品》、GB/T 35601-2017《绿色产品评价 人造板和木质地板》、GB 18580-2017《室内装饰装修材料 人造板及其制品中甲醛释放限量》、GB/T 4897-2015《刨花板》标准，板内密度偏差为±2.5%，静曲强度≥85Mpa，弹性模量≥6400Mpa，内结合强度≥1.2Mpa，表面结合强度≥0.9Mpa，2h 吸水厚度膨胀率≤1.5%，板面握螺钉力≥1600N，板边握螺钉力≥1450N，甲醛释放量未检出，TVOC≤40μg/m³。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3、封边热熔胶：符合GB 18583-2008《室内装饰装修材料 胶粘剂中有害物质限量》标准，苯未检出、甲苯+二甲苯含量未检出，二氯甲烷、1,2-二氯乙烷、1,1,2-三氯乙烷、三氯乙烯含量≤0.1g/kg，总挥发性有机物≤5g/kg。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4、PVC封边条：符合QB/T 4463-2013《家具用封边条技术要求》标准，耐干热、耐磨、耐开裂、耐冷热循环、耐光色牢度（灰色卡样）均检测合格，甲醛释放量未检出，氯乙烯单体≤0.1mg/kg，邻苯二甲酸酯（DBP、BBP、DEHP、DNOP、DINP、DIDP)的总量≤0.005%，多溴联苯、多溴联苯醚、可溶性铅、可溶性铬、可溶性镉、可溶性汞、可溶性硒、可溶性砷、可溶性锑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5、五金件：采用优质五金配件，五金配件紧密拼接，牢固，间隙细小且均匀，平整无毛刺。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6、加厚软包床头。（需提供本项目挂网之前的所有原材料检测报告作为佐证，否则不予采纳）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5CA49B1A">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56E3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5"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7977175F">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0D2C8BF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402" w:type="dxa"/>
            <w:tcBorders>
              <w:top w:val="single" w:color="000000" w:sz="4" w:space="0"/>
              <w:left w:val="single" w:color="000000" w:sz="4" w:space="0"/>
              <w:bottom w:val="single" w:color="000000" w:sz="4" w:space="0"/>
              <w:right w:val="single" w:color="000000" w:sz="4" w:space="0"/>
            </w:tcBorders>
            <w:vAlign w:val="center"/>
          </w:tcPr>
          <w:p w14:paraId="116B768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床垫</w:t>
            </w:r>
          </w:p>
        </w:tc>
        <w:tc>
          <w:tcPr>
            <w:tcW w:w="790" w:type="dxa"/>
            <w:tcBorders>
              <w:top w:val="single" w:color="000000" w:sz="4" w:space="0"/>
              <w:left w:val="single" w:color="000000" w:sz="4" w:space="0"/>
              <w:bottom w:val="single" w:color="000000" w:sz="4" w:space="0"/>
              <w:right w:val="single" w:color="000000" w:sz="4" w:space="0"/>
            </w:tcBorders>
            <w:vAlign w:val="center"/>
          </w:tcPr>
          <w:p w14:paraId="72FCBCC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1500x2000x200</w:t>
            </w:r>
          </w:p>
        </w:tc>
        <w:tc>
          <w:tcPr>
            <w:tcW w:w="483" w:type="dxa"/>
            <w:tcBorders>
              <w:top w:val="single" w:color="000000" w:sz="4" w:space="0"/>
              <w:left w:val="single" w:color="000000" w:sz="4" w:space="0"/>
              <w:bottom w:val="single" w:color="000000" w:sz="4" w:space="0"/>
              <w:right w:val="single" w:color="000000" w:sz="4" w:space="0"/>
            </w:tcBorders>
            <w:vAlign w:val="center"/>
          </w:tcPr>
          <w:p w14:paraId="7FB3415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52</w:t>
            </w:r>
          </w:p>
        </w:tc>
        <w:tc>
          <w:tcPr>
            <w:tcW w:w="435" w:type="dxa"/>
            <w:tcBorders>
              <w:top w:val="single" w:color="000000" w:sz="4" w:space="0"/>
              <w:left w:val="single" w:color="000000" w:sz="4" w:space="0"/>
              <w:bottom w:val="single" w:color="000000" w:sz="4" w:space="0"/>
              <w:right w:val="single" w:color="000000" w:sz="4" w:space="0"/>
            </w:tcBorders>
            <w:vAlign w:val="center"/>
          </w:tcPr>
          <w:p w14:paraId="11B39E5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031F4C6A">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1、符合QB/T 1952.2-2011《软体家具 弹簧软床垫》、GB 17927.1-2011《软体家具　床垫和沙发抗引燃特性的评定　第1部分：阴燃的香烟》标准，面料无污染、破损，采用两条围边工艺。内胆采用椰棕芯、天然椰壳丝、环保棕纤维棉高温压制而成，透气干爽、静音降噪、有效承托、绿色环保；棕纤维垫、椰丝垫强度≥170N/cm，床垫符合卫生安全标准，无异味，无夹杂塑料、植物秸秆或叶、壳、竹、丝、刨花、泥沙、石粉等杂物，甲醛释放量≤0.030mg/㎡h。蛇簧和尼龙带穿插编织，高强度S形弹簧同高弹力绷带，金属件无脱层、裂缝；喷涂层：涂层无漏喷、锈蚀和脱色、掉色现象，涂层光滑均匀、色泽一致，无流挂、疙瘩、皱皮、飞漆等缺陷。</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2、20公分席梦思品牌床垫（需提供本项目挂网之前的所有原材料检测报告作为佐证，否则不予采纳）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526F5657">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52C0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63AD8802">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174F2A3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402" w:type="dxa"/>
            <w:tcBorders>
              <w:top w:val="single" w:color="000000" w:sz="4" w:space="0"/>
              <w:left w:val="single" w:color="000000" w:sz="4" w:space="0"/>
              <w:bottom w:val="single" w:color="000000" w:sz="4" w:space="0"/>
              <w:right w:val="single" w:color="000000" w:sz="4" w:space="0"/>
            </w:tcBorders>
            <w:vAlign w:val="center"/>
          </w:tcPr>
          <w:p w14:paraId="4B5F770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床头柜</w:t>
            </w:r>
          </w:p>
        </w:tc>
        <w:tc>
          <w:tcPr>
            <w:tcW w:w="790" w:type="dxa"/>
            <w:tcBorders>
              <w:top w:val="single" w:color="000000" w:sz="4" w:space="0"/>
              <w:left w:val="single" w:color="000000" w:sz="4" w:space="0"/>
              <w:bottom w:val="single" w:color="000000" w:sz="4" w:space="0"/>
              <w:right w:val="single" w:color="000000" w:sz="4" w:space="0"/>
            </w:tcBorders>
            <w:vAlign w:val="center"/>
          </w:tcPr>
          <w:p w14:paraId="12C6895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400x400x430</w:t>
            </w:r>
          </w:p>
        </w:tc>
        <w:tc>
          <w:tcPr>
            <w:tcW w:w="483" w:type="dxa"/>
            <w:tcBorders>
              <w:top w:val="single" w:color="000000" w:sz="4" w:space="0"/>
              <w:left w:val="single" w:color="000000" w:sz="4" w:space="0"/>
              <w:bottom w:val="single" w:color="000000" w:sz="4" w:space="0"/>
              <w:right w:val="single" w:color="000000" w:sz="4" w:space="0"/>
            </w:tcBorders>
            <w:vAlign w:val="center"/>
          </w:tcPr>
          <w:p w14:paraId="5B22DE2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52</w:t>
            </w:r>
          </w:p>
        </w:tc>
        <w:tc>
          <w:tcPr>
            <w:tcW w:w="435" w:type="dxa"/>
            <w:tcBorders>
              <w:top w:val="single" w:color="000000" w:sz="4" w:space="0"/>
              <w:left w:val="single" w:color="000000" w:sz="4" w:space="0"/>
              <w:bottom w:val="single" w:color="000000" w:sz="4" w:space="0"/>
              <w:right w:val="single" w:color="000000" w:sz="4" w:space="0"/>
            </w:tcBorders>
            <w:vAlign w:val="center"/>
          </w:tcPr>
          <w:p w14:paraId="6E255E1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个</w:t>
            </w:r>
          </w:p>
        </w:tc>
        <w:tc>
          <w:tcPr>
            <w:tcW w:w="5807" w:type="dxa"/>
            <w:tcBorders>
              <w:top w:val="single" w:color="000000" w:sz="4" w:space="0"/>
              <w:left w:val="single" w:color="000000" w:sz="4" w:space="0"/>
              <w:bottom w:val="single" w:color="000000" w:sz="4" w:space="0"/>
              <w:right w:val="single" w:color="000000" w:sz="4" w:space="0"/>
            </w:tcBorders>
            <w:vAlign w:val="center"/>
          </w:tcPr>
          <w:p w14:paraId="58F9C8E4">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1、面材：优质耐磨三聚氰胺饰面纸饰面，符合LY/T 1831-2009《人造板饰面专用装饰纸》标准，耐热性≥1级，耐光色牢度（蓝色羊毛标准）≥6级，甲醛释放量未检出，挥发物含量为6~6.5%，装饰胶膜纸外观(印刷装饰胶膜纸)不允许有污斑、白点、皱褶、边角缺陷、裂纹、漏胶、粘连等，预固化度为30-50%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2、基材：采用绿色环保刨花板（实木颗粒板），符合HJ 571-2010《环境标志产品技术要求 人造板及其制品》、GB/T 35601-2017《绿色产品评价 人造板和木质地板》、GB 18580-2017《室内装饰装修材料 人造板及其制品中甲醛释放限量》、GB/T 4897-2015《刨花板》标准，板内密度偏差为±2.5%，静曲强度≥85Mpa，弹性模量≥6400Mpa，内结合强度≥1.2Mpa，表面结合强度≥0.9Mpa，2h 吸水厚度膨胀率≤1.5%，板面握螺钉力≥1600N，板边握螺钉力≥1450N，甲醛释放量未检出，TVOC≤40μg/m³。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3、封边热熔胶：符合GB 18583-2008《室内装饰装修材料 胶粘剂中有害物质限量》标准，苯未检出、甲苯+二甲苯含量未检出，二氯甲烷、1,2-二氯乙烷、1,1,2-三氯乙烷、三氯乙烯含量≤0.1g/kg，总挥发性有机物≤5g/kg。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4、PVC封边条：符合QB/T 4463-2013《家具用封边条技术要求》标准，耐干热、耐磨、耐开裂、耐冷热循环、耐光色牢度（灰色卡样）均检测合格，甲醛释放量未检出，氯乙烯单体≤0.1mg/kg，邻苯二甲酸酯（DBP、BBP、DEHP、DNOP、DINP、DIDP)的总量≤0.005%，多溴联苯、多溴联苯醚、可溶性铅、可溶性铬、可溶性镉、可溶性汞、可溶性硒、可溶性砷、可溶性锑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5、五金件：采用优质五金配件，五金配件紧密拼接，牢固，间隙细小且均匀，平整无毛刺。（需提供本项目挂网之前的所有原材料检测报告作为佐证，否则不予采纳）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725822D5">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05E1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0F67CC6D">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712E77E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w:t>
            </w:r>
          </w:p>
        </w:tc>
        <w:tc>
          <w:tcPr>
            <w:tcW w:w="402" w:type="dxa"/>
            <w:tcBorders>
              <w:top w:val="single" w:color="000000" w:sz="4" w:space="0"/>
              <w:left w:val="single" w:color="000000" w:sz="4" w:space="0"/>
              <w:bottom w:val="single" w:color="000000" w:sz="4" w:space="0"/>
              <w:right w:val="single" w:color="000000" w:sz="4" w:space="0"/>
            </w:tcBorders>
            <w:vAlign w:val="center"/>
          </w:tcPr>
          <w:p w14:paraId="72D6974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写字桌</w:t>
            </w:r>
          </w:p>
        </w:tc>
        <w:tc>
          <w:tcPr>
            <w:tcW w:w="790" w:type="dxa"/>
            <w:tcBorders>
              <w:top w:val="single" w:color="000000" w:sz="4" w:space="0"/>
              <w:left w:val="single" w:color="000000" w:sz="4" w:space="0"/>
              <w:bottom w:val="single" w:color="000000" w:sz="4" w:space="0"/>
              <w:right w:val="single" w:color="000000" w:sz="4" w:space="0"/>
            </w:tcBorders>
            <w:vAlign w:val="center"/>
          </w:tcPr>
          <w:p w14:paraId="5B1DA4B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1200x600x750</w:t>
            </w:r>
          </w:p>
        </w:tc>
        <w:tc>
          <w:tcPr>
            <w:tcW w:w="483" w:type="dxa"/>
            <w:tcBorders>
              <w:top w:val="single" w:color="000000" w:sz="4" w:space="0"/>
              <w:left w:val="single" w:color="000000" w:sz="4" w:space="0"/>
              <w:bottom w:val="single" w:color="000000" w:sz="4" w:space="0"/>
              <w:right w:val="single" w:color="000000" w:sz="4" w:space="0"/>
            </w:tcBorders>
            <w:vAlign w:val="center"/>
          </w:tcPr>
          <w:p w14:paraId="724ADB3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52</w:t>
            </w:r>
          </w:p>
        </w:tc>
        <w:tc>
          <w:tcPr>
            <w:tcW w:w="435" w:type="dxa"/>
            <w:tcBorders>
              <w:top w:val="single" w:color="000000" w:sz="4" w:space="0"/>
              <w:left w:val="single" w:color="000000" w:sz="4" w:space="0"/>
              <w:bottom w:val="single" w:color="000000" w:sz="4" w:space="0"/>
              <w:right w:val="single" w:color="000000" w:sz="4" w:space="0"/>
            </w:tcBorders>
            <w:vAlign w:val="center"/>
          </w:tcPr>
          <w:p w14:paraId="3A4C1B2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72A10C0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1、面材：优质耐磨三聚氰胺饰面纸饰面，符合LY/T 1831-2009《人造板饰面专用装饰纸》标准，耐热性≥1级，耐光色牢度（蓝色羊毛标准）≥6级，甲醛释放量未检出，挥发物含量为6~6.5%，装饰胶膜纸外观(印刷装饰胶膜纸)不允许有污斑、白点、皱褶、边角缺陷、裂纹、漏胶、粘连等，预固化度为30-50%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2、基材：采用绿色环保刨花板（实木颗粒板），符合HJ 571-2010《环境标志产品技术要求 人造板及其制品》、GB/T 35601-2017《绿色产品评价 人造板和木质地板》、GB 18580-2017《室内装饰装修材料 人造板及其制品中甲醛释放限量》、GB/T 4897-2015《刨花板》标准，板内密度偏差为±2.5%，静曲强度≥85Mpa，弹性模量≥6400Mpa，内结合强度≥1.2Mpa，表面结合强度≥0.9Mpa，2h 吸水厚度膨胀率≤1.5%，板面握螺钉力≥1600N，板边握螺钉力≥1450N，甲醛释放量未检出，TVOC≤40μg/m³。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3、封边热熔胶：符合GB 18583-2008《室内装饰装修材料 胶粘剂中有害物质限量》标准，苯未检出、甲苯+二甲苯含量未检出，二氯甲烷、1,2-二氯乙烷、1,1,2-三氯乙烷、三氯乙烯含量≤0.1g/kg，总挥发性有机物≤5g/kg。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4、PVC封边条：符合QB/T 4463-2013《家具用封边条技术要求》标准，耐干热、耐磨、耐开裂、耐冷热循环、耐光色牢度（灰色卡样）均检测合格，甲醛释放量未检出，氯乙烯单体≤0.1mg/kg，邻苯二甲酸酯（DBP、BBP、DEHP、DNOP、DINP、DIDP)的总量≤0.005%，多溴联苯、多溴联苯醚、可溶性铅、可溶性铬、可溶性镉、可溶性汞、可溶性硒、可溶性砷、可溶性锑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5、五金件：采用优质五金配件，五金配件紧密拼接，牢固，间隙细小且均匀，平整无毛刺。（需提供本项目挂网之前的所有原材料检测报告作为佐证，否则不予采纳）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66373693">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69B7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6" w:hRule="atLeast"/>
          <w:jc w:val="center"/>
        </w:trPr>
        <w:tc>
          <w:tcPr>
            <w:tcW w:w="340" w:type="dxa"/>
            <w:vMerge w:val="continue"/>
            <w:tcBorders>
              <w:top w:val="single" w:color="000000" w:sz="4" w:space="0"/>
              <w:left w:val="single" w:color="000000" w:sz="12" w:space="0"/>
              <w:bottom w:val="single" w:color="000000" w:sz="4" w:space="0"/>
              <w:right w:val="single" w:color="000000" w:sz="4" w:space="0"/>
            </w:tcBorders>
            <w:vAlign w:val="center"/>
          </w:tcPr>
          <w:p w14:paraId="60324768">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5351162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02" w:type="dxa"/>
            <w:tcBorders>
              <w:top w:val="single" w:color="000000" w:sz="4" w:space="0"/>
              <w:left w:val="single" w:color="000000" w:sz="4" w:space="0"/>
              <w:bottom w:val="single" w:color="000000" w:sz="4" w:space="0"/>
              <w:right w:val="single" w:color="000000" w:sz="4" w:space="0"/>
            </w:tcBorders>
            <w:vAlign w:val="center"/>
          </w:tcPr>
          <w:p w14:paraId="515FF87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写字椅</w:t>
            </w:r>
          </w:p>
        </w:tc>
        <w:tc>
          <w:tcPr>
            <w:tcW w:w="790" w:type="dxa"/>
            <w:tcBorders>
              <w:top w:val="single" w:color="000000" w:sz="4" w:space="0"/>
              <w:left w:val="single" w:color="000000" w:sz="4" w:space="0"/>
              <w:bottom w:val="single" w:color="000000" w:sz="4" w:space="0"/>
              <w:right w:val="single" w:color="000000" w:sz="4" w:space="0"/>
            </w:tcBorders>
            <w:vAlign w:val="center"/>
          </w:tcPr>
          <w:p w14:paraId="779A6EE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760x680x980</w:t>
            </w:r>
          </w:p>
        </w:tc>
        <w:tc>
          <w:tcPr>
            <w:tcW w:w="483" w:type="dxa"/>
            <w:tcBorders>
              <w:top w:val="single" w:color="000000" w:sz="4" w:space="0"/>
              <w:left w:val="single" w:color="000000" w:sz="4" w:space="0"/>
              <w:bottom w:val="single" w:color="000000" w:sz="4" w:space="0"/>
              <w:right w:val="single" w:color="000000" w:sz="4" w:space="0"/>
            </w:tcBorders>
            <w:vAlign w:val="center"/>
          </w:tcPr>
          <w:p w14:paraId="697921B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52</w:t>
            </w:r>
          </w:p>
        </w:tc>
        <w:tc>
          <w:tcPr>
            <w:tcW w:w="435" w:type="dxa"/>
            <w:tcBorders>
              <w:top w:val="single" w:color="000000" w:sz="4" w:space="0"/>
              <w:left w:val="single" w:color="000000" w:sz="4" w:space="0"/>
              <w:bottom w:val="single" w:color="000000" w:sz="4" w:space="0"/>
              <w:right w:val="single" w:color="000000" w:sz="4" w:space="0"/>
            </w:tcBorders>
            <w:vAlign w:val="center"/>
          </w:tcPr>
          <w:p w14:paraId="7D89778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把</w:t>
            </w:r>
          </w:p>
        </w:tc>
        <w:tc>
          <w:tcPr>
            <w:tcW w:w="5807" w:type="dxa"/>
            <w:tcBorders>
              <w:top w:val="single" w:color="000000" w:sz="4" w:space="0"/>
              <w:left w:val="single" w:color="000000" w:sz="4" w:space="0"/>
              <w:bottom w:val="single" w:color="000000" w:sz="4" w:space="0"/>
              <w:right w:val="single" w:color="000000" w:sz="4" w:space="0"/>
            </w:tcBorders>
            <w:vAlign w:val="center"/>
          </w:tcPr>
          <w:p w14:paraId="1E2E2090">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1、尼龙玻纤椅身，网布：符合GB 18401-2010《国家纺织产品基本安全技术规范》标准，甲醛含量未检出，PH值为6-7，染色牢度（耐水、耐酸汗渍、耐碱汗渍、耐干摩擦）≥3级，可分解芳香胺染料检验（24类）均未检出。无异味，经液防潮、防污等工艺处理，使表面更加柔软耐污、耐磨、舒适、透气。</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2、软包面料采用优质绒布，符合GB 18401-2010《国家纺织产品基本安全技术规范》标准，符合GB 18401-2010《国家纺织产品基本安全技术规范》标准，甲醛含量＜20mg/kg，PH值为6-7，染色牢度（耐水、耐酸汗渍、耐碱汗渍、耐干摩擦）≥3级，可分解芳香胺染料检验（24类）均未检出。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3、曲木板：座垫采用多层曲木板热压成型，GB/T 35601-2017《绿色产品评价 人造板和木质地板》标准，含水率5~8%，甲醛释放量未检出，72h总挥发性有机化合物（TVOC）≤40μg/m³。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4、采用高密度定型阻燃海绵，符合GB/T 10802-2006《通用软质聚醚型聚氨酯泡沫塑料》、QB/T 2280-2016《办公家具 办公椅》标准，长度极限偏差（＞1000-2000）为0~+15；颜色应均匀，允许轻微杂色黄芯，不允许有长度大于6mm的对穿孔和长度大于10mm的气孔；每平方米内弥和裂缝总长小于100mm，最大裂键小于30mm；片材两侧斜表皮宽度不超过厚度的一倍，并且最大不得超过40mm；无刺激性气味；25%压陷硬度为93±2N，65%25%压陷比≥2.0，75%压缩永久变形≤5%，回弹率≥40%，拉伸强度≥100 KPa，伸长率≥150%，撕裂强度≥2.8N/cm，干热老化后拉伸强度≥120KPa，湿热老化后拉伸强度变化率为±15%，TVOC≤0.1mg/㎡ h；表面和内部未出现任何续燃、阴燃现象，通过香烟抗引燃特性试验。</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5、喷涂弓形脚架/金属脚架，经酸洗磷化等处理，表面电镀工艺。（需提供本项目挂网之前的所有原材料检测报告作为佐证，否则不予采纳）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6F9BD891">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3A25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340" w:type="dxa"/>
            <w:vMerge w:val="restart"/>
            <w:tcBorders>
              <w:top w:val="single" w:color="000000" w:sz="4" w:space="0"/>
              <w:left w:val="single" w:color="000000" w:sz="12" w:space="0"/>
              <w:bottom w:val="single" w:color="000000" w:sz="12" w:space="0"/>
              <w:right w:val="single" w:color="000000" w:sz="4" w:space="0"/>
            </w:tcBorders>
            <w:vAlign w:val="center"/>
          </w:tcPr>
          <w:p w14:paraId="1C630CC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海东分行宿舍家具</w:t>
            </w:r>
          </w:p>
        </w:tc>
        <w:tc>
          <w:tcPr>
            <w:tcW w:w="339" w:type="dxa"/>
            <w:tcBorders>
              <w:top w:val="single" w:color="000000" w:sz="4" w:space="0"/>
              <w:left w:val="single" w:color="000000" w:sz="4" w:space="0"/>
              <w:bottom w:val="single" w:color="000000" w:sz="4" w:space="0"/>
              <w:right w:val="single" w:color="000000" w:sz="4" w:space="0"/>
            </w:tcBorders>
            <w:vAlign w:val="center"/>
          </w:tcPr>
          <w:p w14:paraId="3245152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402" w:type="dxa"/>
            <w:tcBorders>
              <w:top w:val="single" w:color="000000" w:sz="4" w:space="0"/>
              <w:left w:val="single" w:color="000000" w:sz="4" w:space="0"/>
              <w:bottom w:val="single" w:color="000000" w:sz="4" w:space="0"/>
              <w:right w:val="single" w:color="000000" w:sz="4" w:space="0"/>
            </w:tcBorders>
            <w:vAlign w:val="center"/>
          </w:tcPr>
          <w:p w14:paraId="0DCA29E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单人床</w:t>
            </w:r>
          </w:p>
        </w:tc>
        <w:tc>
          <w:tcPr>
            <w:tcW w:w="790" w:type="dxa"/>
            <w:tcBorders>
              <w:top w:val="single" w:color="000000" w:sz="4" w:space="0"/>
              <w:left w:val="single" w:color="000000" w:sz="4" w:space="0"/>
              <w:bottom w:val="single" w:color="000000" w:sz="4" w:space="0"/>
              <w:right w:val="single" w:color="000000" w:sz="4" w:space="0"/>
            </w:tcBorders>
            <w:vAlign w:val="center"/>
          </w:tcPr>
          <w:p w14:paraId="34CA7FD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 xml:space="preserve">1500x2000x1000            </w:t>
            </w:r>
          </w:p>
        </w:tc>
        <w:tc>
          <w:tcPr>
            <w:tcW w:w="483" w:type="dxa"/>
            <w:tcBorders>
              <w:top w:val="single" w:color="000000" w:sz="4" w:space="0"/>
              <w:left w:val="single" w:color="000000" w:sz="4" w:space="0"/>
              <w:bottom w:val="single" w:color="000000" w:sz="4" w:space="0"/>
              <w:right w:val="single" w:color="000000" w:sz="4" w:space="0"/>
            </w:tcBorders>
            <w:vAlign w:val="center"/>
          </w:tcPr>
          <w:p w14:paraId="38C6036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000000" w:sz="4" w:space="0"/>
              <w:right w:val="single" w:color="000000" w:sz="4" w:space="0"/>
            </w:tcBorders>
            <w:vAlign w:val="center"/>
          </w:tcPr>
          <w:p w14:paraId="3080080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56EBC578">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1、面材：优质耐磨三聚氰胺饰面纸饰面，符合LY/T 1831-2009《人造板饰面专用装饰纸》标准，耐热性≥1级，耐光色牢度（蓝色羊毛标准）≥6级，甲醛释放量未检出，挥发物含量为6~6.5%，装饰胶膜纸外观(印刷装饰胶膜纸)不允许有污斑、白点、皱褶、边角缺陷、裂纹、漏胶、粘连等，预固化度为30-50%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2、基材：采用绿色环保刨花板（实木颗粒板），符合HJ 571-2010《环境标志产品技术要求 人造板及其制品》、GB/T 35601-2017《绿色产品评价 人造板和木质地板》、GB 18580-2017《室内装饰装修材料 人造板及其制品中甲醛释放限量》、GB/T 4897-2015《刨花板》标准，板内密度偏差为±2.5%，静曲强度≥85Mpa，弹性模量≥6400Mpa，内结合强度≥1.2Mpa，表面结合强度≥0.9Mpa，2h 吸水厚度膨胀率≤1.5%，板面握螺钉力≥1600N，板边握螺钉力≥1450N，甲醛释放量未检出，TVOC≤40μg/m³。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3、封边热熔胶：符合GB 18583-2008《室内装饰装修材料 胶粘剂中有害物质限量》标准，苯未检出、甲苯+二甲苯含量未检出，二氯甲烷、1,2-二氯乙烷、1,1,2-三氯乙烷、三氯乙烯含量≤0.1g/kg，总挥发性有机物≤5g/kg。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4、PVC封边条：符合QB/T 4463-2013《家具用封边条技术要求》标准，耐干热、耐磨、耐开裂、耐冷热循环、耐光色牢度（灰色卡样）均检测合格，甲醛释放量未检出，氯乙烯单体≤0.1mg/kg，邻苯二甲酸酯（DBP、BBP、DEHP、DNOP、DINP、DIDP)的总量≤0.005%，多溴联苯、多溴联苯醚、可溶性铅、可溶性铬、可溶性镉、可溶性汞、可溶性硒、可溶性砷、可溶性锑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5、五金件：采用优质五金配件，五金配件紧密拼接，牢固，间隙细小且均匀，平整无毛刺。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6、加厚软包床头。（需提供本项目挂网之前的所有原材料检测报告作为佐证，否则不予采纳）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3BFE898B">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0310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jc w:val="center"/>
        </w:trPr>
        <w:tc>
          <w:tcPr>
            <w:tcW w:w="340" w:type="dxa"/>
            <w:vMerge w:val="continue"/>
            <w:tcBorders>
              <w:top w:val="single" w:color="000000" w:sz="4" w:space="0"/>
              <w:left w:val="single" w:color="000000" w:sz="12" w:space="0"/>
              <w:bottom w:val="single" w:color="000000" w:sz="12" w:space="0"/>
              <w:right w:val="single" w:color="000000" w:sz="4" w:space="0"/>
            </w:tcBorders>
            <w:vAlign w:val="center"/>
          </w:tcPr>
          <w:p w14:paraId="58E975DA">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588B018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402" w:type="dxa"/>
            <w:tcBorders>
              <w:top w:val="single" w:color="000000" w:sz="4" w:space="0"/>
              <w:left w:val="single" w:color="000000" w:sz="4" w:space="0"/>
              <w:bottom w:val="single" w:color="000000" w:sz="4" w:space="0"/>
              <w:right w:val="single" w:color="000000" w:sz="4" w:space="0"/>
            </w:tcBorders>
            <w:vAlign w:val="center"/>
          </w:tcPr>
          <w:p w14:paraId="328B86B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床垫</w:t>
            </w:r>
          </w:p>
        </w:tc>
        <w:tc>
          <w:tcPr>
            <w:tcW w:w="790" w:type="dxa"/>
            <w:tcBorders>
              <w:top w:val="single" w:color="000000" w:sz="4" w:space="0"/>
              <w:left w:val="single" w:color="000000" w:sz="4" w:space="0"/>
              <w:bottom w:val="single" w:color="000000" w:sz="4" w:space="0"/>
              <w:right w:val="single" w:color="000000" w:sz="4" w:space="0"/>
            </w:tcBorders>
            <w:vAlign w:val="center"/>
          </w:tcPr>
          <w:p w14:paraId="5773C7B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 xml:space="preserve">1500x2000x200            </w:t>
            </w:r>
          </w:p>
        </w:tc>
        <w:tc>
          <w:tcPr>
            <w:tcW w:w="483" w:type="dxa"/>
            <w:tcBorders>
              <w:top w:val="single" w:color="000000" w:sz="4" w:space="0"/>
              <w:left w:val="single" w:color="000000" w:sz="4" w:space="0"/>
              <w:bottom w:val="single" w:color="000000" w:sz="4" w:space="0"/>
              <w:right w:val="single" w:color="000000" w:sz="4" w:space="0"/>
            </w:tcBorders>
            <w:vAlign w:val="center"/>
          </w:tcPr>
          <w:p w14:paraId="0494E15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000000" w:sz="4" w:space="0"/>
              <w:right w:val="single" w:color="000000" w:sz="4" w:space="0"/>
            </w:tcBorders>
            <w:vAlign w:val="center"/>
          </w:tcPr>
          <w:p w14:paraId="41F5F6C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16143F49">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1、符合QB/T 1952.2-2011《软体家具 弹簧软床垫》、GB 17927.1-2011《软体家具　床垫和沙发抗引燃特性的评定　第1部分：阴燃的香烟》标准，面料无污染、破损，采用两条围边工艺。内胆采用椰棕芯、天然椰壳丝、环保棕纤维棉高温压制而成，透气干爽、静音降噪、有效承托、绿色环保；棕纤维垫、椰丝垫强度≥170N/cm，床垫符合卫生安全标准，无异味，无夹杂塑料、植物秸秆或叶、壳、竹、丝、刨花、泥沙、石粉等杂物，甲醛释放量≤0.030mg/㎡h。蛇簧和尼龙带穿插编织，高强度S形弹簧同高弹力绷带，金属件无脱层、裂缝；喷涂层：涂层无漏喷、锈蚀和脱色、掉色现象，涂层光滑均匀、色泽一致，无流挂、疙瘩、皱皮、飞漆等缺陷。</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2、20公分席梦思品牌床垫（（需提供本项目挂网之前的所有原材料检测报告作为佐证，否则不予采纳）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6F2472C1">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3BE5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0" w:hRule="atLeast"/>
          <w:jc w:val="center"/>
        </w:trPr>
        <w:tc>
          <w:tcPr>
            <w:tcW w:w="340" w:type="dxa"/>
            <w:vMerge w:val="continue"/>
            <w:tcBorders>
              <w:top w:val="single" w:color="000000" w:sz="4" w:space="0"/>
              <w:left w:val="single" w:color="000000" w:sz="12" w:space="0"/>
              <w:bottom w:val="single" w:color="000000" w:sz="12" w:space="0"/>
              <w:right w:val="single" w:color="000000" w:sz="4" w:space="0"/>
            </w:tcBorders>
            <w:vAlign w:val="center"/>
          </w:tcPr>
          <w:p w14:paraId="5FBDB7D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4ED8B64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402" w:type="dxa"/>
            <w:tcBorders>
              <w:top w:val="single" w:color="000000" w:sz="4" w:space="0"/>
              <w:left w:val="single" w:color="000000" w:sz="4" w:space="0"/>
              <w:bottom w:val="single" w:color="000000" w:sz="4" w:space="0"/>
              <w:right w:val="single" w:color="000000" w:sz="4" w:space="0"/>
            </w:tcBorders>
            <w:vAlign w:val="center"/>
          </w:tcPr>
          <w:p w14:paraId="6C3FB0D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床头柜</w:t>
            </w:r>
          </w:p>
        </w:tc>
        <w:tc>
          <w:tcPr>
            <w:tcW w:w="790" w:type="dxa"/>
            <w:tcBorders>
              <w:top w:val="single" w:color="000000" w:sz="4" w:space="0"/>
              <w:left w:val="single" w:color="000000" w:sz="4" w:space="0"/>
              <w:bottom w:val="single" w:color="000000" w:sz="4" w:space="0"/>
              <w:right w:val="single" w:color="000000" w:sz="4" w:space="0"/>
            </w:tcBorders>
            <w:vAlign w:val="center"/>
          </w:tcPr>
          <w:p w14:paraId="1C7D816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400x400x430</w:t>
            </w:r>
          </w:p>
        </w:tc>
        <w:tc>
          <w:tcPr>
            <w:tcW w:w="483" w:type="dxa"/>
            <w:tcBorders>
              <w:top w:val="single" w:color="000000" w:sz="4" w:space="0"/>
              <w:left w:val="single" w:color="000000" w:sz="4" w:space="0"/>
              <w:bottom w:val="single" w:color="000000" w:sz="4" w:space="0"/>
              <w:right w:val="single" w:color="000000" w:sz="4" w:space="0"/>
            </w:tcBorders>
            <w:vAlign w:val="center"/>
          </w:tcPr>
          <w:p w14:paraId="727E331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000000" w:sz="4" w:space="0"/>
              <w:right w:val="single" w:color="000000" w:sz="4" w:space="0"/>
            </w:tcBorders>
            <w:vAlign w:val="center"/>
          </w:tcPr>
          <w:p w14:paraId="2014922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个</w:t>
            </w:r>
          </w:p>
        </w:tc>
        <w:tc>
          <w:tcPr>
            <w:tcW w:w="5807" w:type="dxa"/>
            <w:tcBorders>
              <w:top w:val="single" w:color="000000" w:sz="4" w:space="0"/>
              <w:left w:val="single" w:color="000000" w:sz="4" w:space="0"/>
              <w:bottom w:val="single" w:color="000000" w:sz="4" w:space="0"/>
              <w:right w:val="single" w:color="000000" w:sz="4" w:space="0"/>
            </w:tcBorders>
            <w:vAlign w:val="center"/>
          </w:tcPr>
          <w:p w14:paraId="697BAA22">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1、面材：优质耐磨三聚氰胺饰面纸饰面，符合LY/T 1831-2009《人造板饰面专用装饰纸》标准，耐热性≥1级，耐光色牢度（蓝色羊毛标准）≥6级，甲醛释放量未检出，挥发物含量为6~6.5%，装饰胶膜纸外观(印刷装饰胶膜纸)不允许有污斑、白点、皱褶、边角缺陷、裂纹、漏胶、粘连等，预固化度为30-50%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2、基材：采用绿色环保刨花板（实木颗粒板），符合HJ 571-2010《环境标志产品技术要求 人造板及其制品》、GB/T 35601-2017《绿色产品评价 人造板和木质地板》、GB 18580-2017《室内装饰装修材料 人造板及其制品中甲醛释放限量》、GB/T 4897-2015《刨花板》标准，板内密度偏差为±2.5%，静曲强度≥85Mpa，弹性模量≥6400Mpa，内结合强度≥1.2Mpa，表面结合强度≥0.9Mpa，2h 吸水厚度膨胀率≤1.5%，板面握螺钉力≥1600N，板边握螺钉力≥1450N，甲醛释放量未检出，TVOC≤40μg/m³。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3、封边热熔胶：符合GB 18583-2008《室内装饰装修材料 胶粘剂中有害物质限量》标准，苯未检出、甲苯+二甲苯含量未检出，二氯甲烷、1,2-二氯乙烷、1,1,2-三氯乙烷、三氯乙烯含量≤0.1g/kg，总挥发性有机物≤5g/kg。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4、PVC封边条：符合QB/T 4463-2013《家具用封边条技术要求》标准，耐干热、耐磨、耐开裂、耐冷热循环、耐光色牢度（灰色卡样）均检测合格，甲醛释放量未检出，氯乙烯单体≤0.1mg/kg，邻苯二甲酸酯（DBP、BBP、DEHP、DNOP、DINP、DIDP)的总量≤0.005%，多溴联苯、多溴联苯醚、可溶性铅、可溶性铬、可溶性镉、可溶性汞、可溶性硒、可溶性砷、可溶性锑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5、五金件：采用优质五金配件，五金配件紧密拼接，牢固，间隙细小且均匀，平整无毛刺。（需提供本项目挂网之前的所有原材料检测报告作为佐证，否则不予采纳）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7A02BD03">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2733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5" w:hRule="atLeast"/>
          <w:jc w:val="center"/>
        </w:trPr>
        <w:tc>
          <w:tcPr>
            <w:tcW w:w="340" w:type="dxa"/>
            <w:vMerge w:val="continue"/>
            <w:tcBorders>
              <w:top w:val="single" w:color="000000" w:sz="4" w:space="0"/>
              <w:left w:val="single" w:color="000000" w:sz="12" w:space="0"/>
              <w:bottom w:val="single" w:color="000000" w:sz="12" w:space="0"/>
              <w:right w:val="single" w:color="000000" w:sz="4" w:space="0"/>
            </w:tcBorders>
            <w:vAlign w:val="center"/>
          </w:tcPr>
          <w:p w14:paraId="00D6DE23">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7013731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w:t>
            </w:r>
          </w:p>
        </w:tc>
        <w:tc>
          <w:tcPr>
            <w:tcW w:w="402" w:type="dxa"/>
            <w:tcBorders>
              <w:top w:val="single" w:color="000000" w:sz="4" w:space="0"/>
              <w:left w:val="single" w:color="000000" w:sz="4" w:space="0"/>
              <w:bottom w:val="single" w:color="000000" w:sz="4" w:space="0"/>
              <w:right w:val="single" w:color="000000" w:sz="4" w:space="0"/>
            </w:tcBorders>
            <w:vAlign w:val="center"/>
          </w:tcPr>
          <w:p w14:paraId="0BEDC2A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衣柜</w:t>
            </w:r>
          </w:p>
        </w:tc>
        <w:tc>
          <w:tcPr>
            <w:tcW w:w="790" w:type="dxa"/>
            <w:tcBorders>
              <w:top w:val="single" w:color="000000" w:sz="4" w:space="0"/>
              <w:left w:val="single" w:color="000000" w:sz="4" w:space="0"/>
              <w:bottom w:val="single" w:color="000000" w:sz="4" w:space="0"/>
              <w:right w:val="single" w:color="000000" w:sz="4" w:space="0"/>
            </w:tcBorders>
            <w:vAlign w:val="center"/>
          </w:tcPr>
          <w:p w14:paraId="0C194CE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1200x600x2000</w:t>
            </w:r>
          </w:p>
        </w:tc>
        <w:tc>
          <w:tcPr>
            <w:tcW w:w="483" w:type="dxa"/>
            <w:tcBorders>
              <w:top w:val="single" w:color="000000" w:sz="4" w:space="0"/>
              <w:left w:val="single" w:color="000000" w:sz="4" w:space="0"/>
              <w:bottom w:val="single" w:color="000000" w:sz="4" w:space="0"/>
              <w:right w:val="single" w:color="000000" w:sz="4" w:space="0"/>
            </w:tcBorders>
            <w:vAlign w:val="center"/>
          </w:tcPr>
          <w:p w14:paraId="18DA01B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000000" w:sz="4" w:space="0"/>
              <w:right w:val="single" w:color="000000" w:sz="4" w:space="0"/>
            </w:tcBorders>
            <w:vAlign w:val="center"/>
          </w:tcPr>
          <w:p w14:paraId="193682D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组</w:t>
            </w:r>
          </w:p>
        </w:tc>
        <w:tc>
          <w:tcPr>
            <w:tcW w:w="5807" w:type="dxa"/>
            <w:tcBorders>
              <w:top w:val="single" w:color="000000" w:sz="4" w:space="0"/>
              <w:left w:val="single" w:color="000000" w:sz="4" w:space="0"/>
              <w:bottom w:val="single" w:color="000000" w:sz="4" w:space="0"/>
              <w:right w:val="single" w:color="000000" w:sz="4" w:space="0"/>
            </w:tcBorders>
            <w:vAlign w:val="center"/>
          </w:tcPr>
          <w:p w14:paraId="1B9C5B21">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1、面材：优质耐磨三聚氰胺饰面纸饰面，符合LY/T 1831-2009《人造板饰面专用装饰纸》标准，耐热性≥1级，耐光色牢度（蓝色羊毛标准）≥6级，甲醛释放量未检出，挥发物含量为6~6.5%，装饰胶膜纸外观(印刷装饰胶膜纸)不允许有污斑、白点、皱褶、边角缺陷、裂纹、漏胶、粘连等，预固化度为30-50%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2、基材：采用绿色环保刨花板（实木颗粒板），符合HJ 571-2010《环境标志产品技术要求 人造板及其制品》、GB/T 35601-2017《绿色产品评价 人造板和木质地板》、GB 18580-2017《室内装饰装修材料 人造板及其制品中甲醛释放限量》、GB/T 4897-2015《刨花板》标准，板内密度偏差为±2.5%，静曲强度≥85Mpa，弹性模量≥6400Mpa，内结合强度≥1.2Mpa，表面结合强度≥0.9Mpa，2h 吸水厚度膨胀率≤1.5%，板面握螺钉力≥1600N，板边握螺钉力≥1450N，甲醛释放量未检出，TVOC≤40μg/m³。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3、封边热熔胶：符合GB 18583-2008《室内装饰装修材料 胶粘剂中有害物质限量》标准，苯未检出、甲苯+二甲苯含量未检出，二氯甲烷、1,2-二氯乙烷、1,1,2-三氯乙烷、三氯乙烯含量≤0.1g/kg，总挥发性有机物≤5g/kg。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4、PVC封边条：符合QB/T 4463-2013《家具用封边条技术要求》标准，耐干热、耐磨、耐开裂、耐冷热循环、耐光色牢度（灰色卡样）均检测合格，甲醛释放量未检出，氯乙烯单体≤0.1mg/kg，邻苯二甲酸酯（DBP、BBP、DEHP、DNOP、DINP、DIDP)的总量≤0.005%，多溴联苯、多溴联苯醚、可溶性铅、可溶性铬、可溶性镉、可溶性汞、可溶性硒、可溶性砷、可溶性锑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5、五金件：采用优质五金配件，五金配件紧密拼接，牢固，间隙细小且均匀，平整无毛刺。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5、上下分层式设计，便于收纳整理衣物。（需提供本项目挂网之前的所有原材料检测报告作为佐证，否则不予采纳）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1210D7BF">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41AF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340" w:type="dxa"/>
            <w:vMerge w:val="continue"/>
            <w:tcBorders>
              <w:top w:val="single" w:color="000000" w:sz="4" w:space="0"/>
              <w:left w:val="single" w:color="000000" w:sz="12" w:space="0"/>
              <w:bottom w:val="single" w:color="000000" w:sz="12" w:space="0"/>
              <w:right w:val="single" w:color="000000" w:sz="4" w:space="0"/>
            </w:tcBorders>
            <w:vAlign w:val="center"/>
          </w:tcPr>
          <w:p w14:paraId="5B33BE91">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63F0E1C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02" w:type="dxa"/>
            <w:tcBorders>
              <w:top w:val="single" w:color="000000" w:sz="4" w:space="0"/>
              <w:left w:val="single" w:color="000000" w:sz="4" w:space="0"/>
              <w:bottom w:val="single" w:color="000000" w:sz="4" w:space="0"/>
              <w:right w:val="single" w:color="000000" w:sz="4" w:space="0"/>
            </w:tcBorders>
            <w:vAlign w:val="center"/>
          </w:tcPr>
          <w:p w14:paraId="16E3AB2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写字桌</w:t>
            </w:r>
          </w:p>
        </w:tc>
        <w:tc>
          <w:tcPr>
            <w:tcW w:w="790" w:type="dxa"/>
            <w:tcBorders>
              <w:top w:val="single" w:color="000000" w:sz="4" w:space="0"/>
              <w:left w:val="single" w:color="000000" w:sz="4" w:space="0"/>
              <w:bottom w:val="single" w:color="000000" w:sz="4" w:space="0"/>
              <w:right w:val="single" w:color="000000" w:sz="4" w:space="0"/>
            </w:tcBorders>
            <w:vAlign w:val="center"/>
          </w:tcPr>
          <w:p w14:paraId="08324DB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1200x600x750</w:t>
            </w:r>
          </w:p>
        </w:tc>
        <w:tc>
          <w:tcPr>
            <w:tcW w:w="483" w:type="dxa"/>
            <w:tcBorders>
              <w:top w:val="single" w:color="000000" w:sz="4" w:space="0"/>
              <w:left w:val="single" w:color="000000" w:sz="4" w:space="0"/>
              <w:bottom w:val="single" w:color="000000" w:sz="4" w:space="0"/>
              <w:right w:val="single" w:color="000000" w:sz="4" w:space="0"/>
            </w:tcBorders>
            <w:vAlign w:val="center"/>
          </w:tcPr>
          <w:p w14:paraId="461E5CB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000000" w:sz="4" w:space="0"/>
              <w:right w:val="single" w:color="000000" w:sz="4" w:space="0"/>
            </w:tcBorders>
            <w:vAlign w:val="center"/>
          </w:tcPr>
          <w:p w14:paraId="3B92A60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张</w:t>
            </w:r>
          </w:p>
        </w:tc>
        <w:tc>
          <w:tcPr>
            <w:tcW w:w="5807" w:type="dxa"/>
            <w:tcBorders>
              <w:top w:val="single" w:color="000000" w:sz="4" w:space="0"/>
              <w:left w:val="single" w:color="000000" w:sz="4" w:space="0"/>
              <w:bottom w:val="single" w:color="000000" w:sz="4" w:space="0"/>
              <w:right w:val="single" w:color="000000" w:sz="4" w:space="0"/>
            </w:tcBorders>
            <w:vAlign w:val="center"/>
          </w:tcPr>
          <w:p w14:paraId="22F24B6C">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1、面材：优质耐磨三聚氰胺饰面纸饰面，符合LY/T 1831-2009《人造板饰面专用装饰纸》标准，耐热性≥1级，耐光色牢度（蓝色羊毛标准）≥6级，甲醛释放量未检出，挥发物含量为6~6.5%，装饰胶膜纸外观(印刷装饰胶膜纸)不允许有污斑、白点、皱褶、边角缺陷、裂纹、漏胶、粘连等，预固化度为30-50%。</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2、基材：采用绿色环保刨花板（实木颗粒板），符合HJ 571-2010《环境标志产品技术要求 人造板及其制品》、GB/T 35601-2017《绿色产品评价 人造板和木质地板》、GB 18580-2017《室内装饰装修材料 人造板及其制品中甲醛释放限量》、GB/T 4897-2015《刨花板》标准，板内密度偏差为±2.5%，静曲强度≥85Mpa，弹性模量≥6400Mpa，内结合强度≥1.2Mpa，表面结合强度≥0.9Mpa，2h 吸水厚度膨胀率≤1.5%，板面握螺钉力≥1600N，板边握螺钉力≥1450N，甲醛释放量未检出，TVOC≤40μg/m³。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3、封边热熔胶：符合GB 18583-2008《室内装饰装修材料 胶粘剂中有害物质限量》标准，苯未检出、甲苯+二甲苯含量未检出，二氯甲烷、1,2-二氯乙烷、1,1,2-三氯乙烷、三氯乙烯含量≤0.1g/kg，总挥发性有机物≤5g/kg。</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4、PVC封边条：符合QB/T 4463-2013《家具用封边条技术要求》标准，耐干热、耐磨、耐开裂、耐冷热循环、耐光色牢度（灰色卡样）均检测合格，甲醛释放量未检出，氯乙烯单体≤0.1mg/kg，邻苯二甲酸酯（DBP、BBP、DEHP、DNOP、DINP、DIDP)的总量≤0.005%，多溴联苯、多溴联苯醚、可溶性铅、可溶性铬、可溶性镉、可溶性汞、可溶性硒、可溶性砷、可溶性锑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5、五金件：采用优质五金配件，五金配件紧密拼接，牢固，间隙细小且均匀，平整无毛刺。（需提供本项目挂网之前的所有原材料检测报告作为佐证，否则不予采纳）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07429D8A">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24DA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5" w:hRule="atLeast"/>
          <w:jc w:val="center"/>
        </w:trPr>
        <w:tc>
          <w:tcPr>
            <w:tcW w:w="340" w:type="dxa"/>
            <w:vMerge w:val="continue"/>
            <w:tcBorders>
              <w:top w:val="single" w:color="000000" w:sz="4" w:space="0"/>
              <w:left w:val="single" w:color="000000" w:sz="12" w:space="0"/>
              <w:bottom w:val="single" w:color="000000" w:sz="12" w:space="0"/>
              <w:right w:val="single" w:color="000000" w:sz="4" w:space="0"/>
            </w:tcBorders>
            <w:vAlign w:val="center"/>
          </w:tcPr>
          <w:p w14:paraId="38767781">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6FFF9D7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w:t>
            </w:r>
          </w:p>
        </w:tc>
        <w:tc>
          <w:tcPr>
            <w:tcW w:w="402" w:type="dxa"/>
            <w:tcBorders>
              <w:top w:val="single" w:color="000000" w:sz="4" w:space="0"/>
              <w:left w:val="single" w:color="000000" w:sz="4" w:space="0"/>
              <w:bottom w:val="single" w:color="000000" w:sz="4" w:space="0"/>
              <w:right w:val="single" w:color="000000" w:sz="4" w:space="0"/>
            </w:tcBorders>
            <w:vAlign w:val="center"/>
          </w:tcPr>
          <w:p w14:paraId="00DF4C3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写字椅</w:t>
            </w:r>
          </w:p>
        </w:tc>
        <w:tc>
          <w:tcPr>
            <w:tcW w:w="790" w:type="dxa"/>
            <w:tcBorders>
              <w:top w:val="single" w:color="000000" w:sz="4" w:space="0"/>
              <w:left w:val="single" w:color="000000" w:sz="4" w:space="0"/>
              <w:bottom w:val="single" w:color="000000" w:sz="4" w:space="0"/>
              <w:right w:val="single" w:color="000000" w:sz="4" w:space="0"/>
            </w:tcBorders>
            <w:vAlign w:val="center"/>
          </w:tcPr>
          <w:p w14:paraId="3147A8C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760x680x980</w:t>
            </w:r>
          </w:p>
        </w:tc>
        <w:tc>
          <w:tcPr>
            <w:tcW w:w="483" w:type="dxa"/>
            <w:tcBorders>
              <w:top w:val="single" w:color="000000" w:sz="4" w:space="0"/>
              <w:left w:val="single" w:color="000000" w:sz="4" w:space="0"/>
              <w:bottom w:val="single" w:color="000000" w:sz="4" w:space="0"/>
              <w:right w:val="single" w:color="000000" w:sz="4" w:space="0"/>
            </w:tcBorders>
            <w:vAlign w:val="center"/>
          </w:tcPr>
          <w:p w14:paraId="3DEE319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000000" w:sz="4" w:space="0"/>
              <w:right w:val="single" w:color="000000" w:sz="4" w:space="0"/>
            </w:tcBorders>
            <w:vAlign w:val="center"/>
          </w:tcPr>
          <w:p w14:paraId="1142865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把</w:t>
            </w:r>
          </w:p>
        </w:tc>
        <w:tc>
          <w:tcPr>
            <w:tcW w:w="5807" w:type="dxa"/>
            <w:tcBorders>
              <w:top w:val="single" w:color="000000" w:sz="4" w:space="0"/>
              <w:left w:val="single" w:color="000000" w:sz="4" w:space="0"/>
              <w:bottom w:val="single" w:color="000000" w:sz="4" w:space="0"/>
              <w:right w:val="single" w:color="000000" w:sz="4" w:space="0"/>
            </w:tcBorders>
            <w:vAlign w:val="center"/>
          </w:tcPr>
          <w:p w14:paraId="67E5F009">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1、尼龙玻纤椅身，网布：符合GB 18401-2010《国家纺织产品基本安全技术规范》标准，甲醛含量未检出，PH值为6-7，染色牢度（耐水、耐酸汗渍、耐碱汗渍、耐干摩擦）≥3级，可分解芳香胺染料检验（24类）均未检出。无异味，经液防潮、防污等工艺处理，使表面更加柔软耐污、耐磨、舒适、透气。</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2、软包面料采用优质绒布，符合GB 18401-2010《国家纺织产品基本安全技术规范》标准，符合GB 18401-2010《国家纺织产品基本安全技术规范》标准，甲醛含量＜20mg/kg，PH值为6-7，染色牢度（耐水、耐酸汗渍、耐碱汗渍、耐干摩擦）≥3级，可分解芳香胺染料检验（24类）均未检出。</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3、曲木板：座垫采用多层曲木板热压成型，、GB/T 35601-2017《绿色产品评价 人造板和木质地板》标准，含水率5~8%，甲醛释放量未检出，72h总挥发性有机化合物（TVOC）≤40μg/m³。</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4、采用高密度定型阻燃海绵，符合GB/T 10802-2006《通用软质聚醚型聚氨酯泡沫塑料》、QB/T 2280-2016《办公家具 办公椅》标准，长度极限偏差（＞1000-2000）为0~+15；颜色应均匀，允许轻微杂色黄芯，不允许有长度大于6mm的对穿孔和长度大于10mm的气孔；每平方米内弥和裂缝总长小于100mm，最大裂键小于30mm；片材两侧斜表皮宽度不超过厚度的一倍，并且最大不得超过40mm；无刺激性气味；25%压陷硬度为93±2N，65%25%压陷比≥2.0，75%压缩永久变形≤5%，回弹率≥40%，拉伸强度≥100 KPa，伸长率≥150%，撕裂强度≥2.8N/cm，干热老化后拉伸强度≥120KPa，湿热老化后拉伸强度变化率为±15%，TVOC≤0.1mg/㎡ h；表面和内部未出现任何续燃、阴燃现象，通过香烟抗引燃特性试验。</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5、喷涂弓形脚架/金属脚架，经酸洗磷化等处理，表面电镀工艺。（需提供本项目挂网之前的所有原材料检测报告作为佐证，否则不予采纳）</w:t>
            </w:r>
          </w:p>
        </w:tc>
        <w:tc>
          <w:tcPr>
            <w:tcW w:w="475" w:type="dxa"/>
            <w:tcBorders>
              <w:top w:val="single" w:color="000000" w:sz="4" w:space="0"/>
              <w:left w:val="single" w:color="000000" w:sz="4" w:space="0"/>
              <w:bottom w:val="single" w:color="000000" w:sz="4" w:space="0"/>
              <w:right w:val="single" w:color="000000" w:sz="12" w:space="0"/>
            </w:tcBorders>
            <w:vAlign w:val="center"/>
          </w:tcPr>
          <w:p w14:paraId="7A531EBD">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76D6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340" w:type="dxa"/>
            <w:vMerge w:val="continue"/>
            <w:tcBorders>
              <w:top w:val="single" w:color="000000" w:sz="4" w:space="0"/>
              <w:left w:val="single" w:color="000000" w:sz="12" w:space="0"/>
              <w:bottom w:val="single" w:color="000000" w:sz="12" w:space="0"/>
              <w:right w:val="single" w:color="000000" w:sz="4" w:space="0"/>
            </w:tcBorders>
            <w:vAlign w:val="center"/>
          </w:tcPr>
          <w:p w14:paraId="611DE482">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6634DA2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w:t>
            </w:r>
          </w:p>
        </w:tc>
        <w:tc>
          <w:tcPr>
            <w:tcW w:w="402" w:type="dxa"/>
            <w:tcBorders>
              <w:top w:val="single" w:color="000000" w:sz="4" w:space="0"/>
              <w:left w:val="single" w:color="000000" w:sz="4" w:space="0"/>
              <w:bottom w:val="single" w:color="000000" w:sz="4" w:space="0"/>
              <w:right w:val="single" w:color="000000" w:sz="4" w:space="0"/>
            </w:tcBorders>
            <w:vAlign w:val="center"/>
          </w:tcPr>
          <w:p w14:paraId="3DBEC21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浴室柜</w:t>
            </w:r>
          </w:p>
        </w:tc>
        <w:tc>
          <w:tcPr>
            <w:tcW w:w="790" w:type="dxa"/>
            <w:tcBorders>
              <w:top w:val="single" w:color="000000" w:sz="4" w:space="0"/>
              <w:left w:val="single" w:color="000000" w:sz="4" w:space="0"/>
              <w:bottom w:val="single" w:color="000000" w:sz="4" w:space="0"/>
              <w:right w:val="single" w:color="000000" w:sz="4" w:space="0"/>
            </w:tcBorders>
            <w:vAlign w:val="center"/>
          </w:tcPr>
          <w:p w14:paraId="68B1787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 xml:space="preserve">下柜820x480x450        上柜800x130x650           </w:t>
            </w:r>
          </w:p>
        </w:tc>
        <w:tc>
          <w:tcPr>
            <w:tcW w:w="483" w:type="dxa"/>
            <w:tcBorders>
              <w:top w:val="single" w:color="000000" w:sz="4" w:space="0"/>
              <w:left w:val="single" w:color="000000" w:sz="4" w:space="0"/>
              <w:bottom w:val="single" w:color="000000" w:sz="4" w:space="0"/>
              <w:right w:val="single" w:color="000000" w:sz="4" w:space="0"/>
            </w:tcBorders>
            <w:vAlign w:val="center"/>
          </w:tcPr>
          <w:p w14:paraId="76EDCEAB">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000000" w:sz="4" w:space="0"/>
              <w:right w:val="single" w:color="000000" w:sz="4" w:space="0"/>
            </w:tcBorders>
            <w:vAlign w:val="center"/>
          </w:tcPr>
          <w:p w14:paraId="18FE1FC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个</w:t>
            </w:r>
          </w:p>
        </w:tc>
        <w:tc>
          <w:tcPr>
            <w:tcW w:w="5807" w:type="dxa"/>
            <w:tcBorders>
              <w:top w:val="single" w:color="000000" w:sz="4" w:space="0"/>
              <w:left w:val="single" w:color="000000" w:sz="4" w:space="0"/>
              <w:bottom w:val="single" w:color="000000" w:sz="4" w:space="0"/>
              <w:right w:val="single" w:color="000000" w:sz="4" w:space="0"/>
            </w:tcBorders>
            <w:vAlign w:val="center"/>
          </w:tcPr>
          <w:p w14:paraId="736A4A74">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一体陶瓷盆，智能镜柜，环保防潮材质，品牌卫浴。</w:t>
            </w:r>
          </w:p>
        </w:tc>
        <w:tc>
          <w:tcPr>
            <w:tcW w:w="475" w:type="dxa"/>
            <w:tcBorders>
              <w:top w:val="single" w:color="000000" w:sz="4" w:space="0"/>
              <w:left w:val="single" w:color="000000" w:sz="4" w:space="0"/>
              <w:bottom w:val="single" w:color="000000" w:sz="4" w:space="0"/>
              <w:right w:val="single" w:color="000000" w:sz="12" w:space="0"/>
            </w:tcBorders>
            <w:vAlign w:val="center"/>
          </w:tcPr>
          <w:p w14:paraId="667965BC">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2429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340" w:type="dxa"/>
            <w:vMerge w:val="continue"/>
            <w:tcBorders>
              <w:top w:val="single" w:color="000000" w:sz="4" w:space="0"/>
              <w:left w:val="single" w:color="000000" w:sz="12" w:space="0"/>
              <w:bottom w:val="single" w:color="000000" w:sz="12" w:space="0"/>
              <w:right w:val="single" w:color="000000" w:sz="4" w:space="0"/>
            </w:tcBorders>
            <w:vAlign w:val="center"/>
          </w:tcPr>
          <w:p w14:paraId="663CB43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000000" w:sz="4" w:space="0"/>
              <w:right w:val="single" w:color="000000" w:sz="4" w:space="0"/>
            </w:tcBorders>
            <w:vAlign w:val="center"/>
          </w:tcPr>
          <w:p w14:paraId="67105E4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w:t>
            </w:r>
          </w:p>
        </w:tc>
        <w:tc>
          <w:tcPr>
            <w:tcW w:w="402" w:type="dxa"/>
            <w:tcBorders>
              <w:top w:val="single" w:color="000000" w:sz="4" w:space="0"/>
              <w:left w:val="single" w:color="000000" w:sz="4" w:space="0"/>
              <w:bottom w:val="single" w:color="000000" w:sz="4" w:space="0"/>
              <w:right w:val="single" w:color="000000" w:sz="4" w:space="0"/>
            </w:tcBorders>
            <w:vAlign w:val="center"/>
          </w:tcPr>
          <w:p w14:paraId="03E70EE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热水器</w:t>
            </w:r>
          </w:p>
        </w:tc>
        <w:tc>
          <w:tcPr>
            <w:tcW w:w="790" w:type="dxa"/>
            <w:tcBorders>
              <w:top w:val="single" w:color="000000" w:sz="4" w:space="0"/>
              <w:left w:val="single" w:color="000000" w:sz="4" w:space="0"/>
              <w:bottom w:val="single" w:color="000000" w:sz="4" w:space="0"/>
              <w:right w:val="single" w:color="000000" w:sz="4" w:space="0"/>
            </w:tcBorders>
            <w:vAlign w:val="center"/>
          </w:tcPr>
          <w:p w14:paraId="0DE0200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60升</w:t>
            </w:r>
          </w:p>
        </w:tc>
        <w:tc>
          <w:tcPr>
            <w:tcW w:w="483" w:type="dxa"/>
            <w:tcBorders>
              <w:top w:val="single" w:color="000000" w:sz="4" w:space="0"/>
              <w:left w:val="single" w:color="000000" w:sz="4" w:space="0"/>
              <w:bottom w:val="single" w:color="000000" w:sz="4" w:space="0"/>
              <w:right w:val="single" w:color="000000" w:sz="4" w:space="0"/>
            </w:tcBorders>
            <w:vAlign w:val="center"/>
          </w:tcPr>
          <w:p w14:paraId="6B34180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000000" w:sz="4" w:space="0"/>
              <w:right w:val="single" w:color="000000" w:sz="4" w:space="0"/>
            </w:tcBorders>
            <w:vAlign w:val="center"/>
          </w:tcPr>
          <w:p w14:paraId="1A0E136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台</w:t>
            </w:r>
          </w:p>
        </w:tc>
        <w:tc>
          <w:tcPr>
            <w:tcW w:w="5807" w:type="dxa"/>
            <w:tcBorders>
              <w:top w:val="single" w:color="000000" w:sz="4" w:space="0"/>
              <w:left w:val="single" w:color="000000" w:sz="4" w:space="0"/>
              <w:bottom w:val="single" w:color="000000" w:sz="4" w:space="0"/>
              <w:right w:val="single" w:color="000000" w:sz="4" w:space="0"/>
            </w:tcBorders>
            <w:vAlign w:val="center"/>
          </w:tcPr>
          <w:p w14:paraId="19FBF495">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60L、功率3300W快速出水、一级能效、一线品牌</w:t>
            </w:r>
          </w:p>
        </w:tc>
        <w:tc>
          <w:tcPr>
            <w:tcW w:w="475" w:type="dxa"/>
            <w:tcBorders>
              <w:top w:val="single" w:color="000000" w:sz="4" w:space="0"/>
              <w:left w:val="single" w:color="000000" w:sz="4" w:space="0"/>
              <w:bottom w:val="single" w:color="000000" w:sz="4" w:space="0"/>
              <w:right w:val="single" w:color="000000" w:sz="12" w:space="0"/>
            </w:tcBorders>
            <w:vAlign w:val="center"/>
          </w:tcPr>
          <w:p w14:paraId="62804084">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003B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340" w:type="dxa"/>
            <w:vMerge w:val="continue"/>
            <w:tcBorders>
              <w:top w:val="single" w:color="000000" w:sz="4" w:space="0"/>
              <w:left w:val="single" w:color="000000" w:sz="12" w:space="0"/>
              <w:bottom w:val="single" w:color="auto" w:sz="4" w:space="0"/>
              <w:right w:val="single" w:color="000000" w:sz="4" w:space="0"/>
            </w:tcBorders>
            <w:vAlign w:val="center"/>
          </w:tcPr>
          <w:p w14:paraId="720D848C">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339" w:type="dxa"/>
            <w:tcBorders>
              <w:top w:val="single" w:color="000000" w:sz="4" w:space="0"/>
              <w:left w:val="single" w:color="000000" w:sz="4" w:space="0"/>
              <w:bottom w:val="single" w:color="auto" w:sz="4" w:space="0"/>
              <w:right w:val="single" w:color="000000" w:sz="4" w:space="0"/>
            </w:tcBorders>
            <w:vAlign w:val="center"/>
          </w:tcPr>
          <w:p w14:paraId="27B9F29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9</w:t>
            </w:r>
          </w:p>
        </w:tc>
        <w:tc>
          <w:tcPr>
            <w:tcW w:w="402" w:type="dxa"/>
            <w:tcBorders>
              <w:top w:val="single" w:color="000000" w:sz="4" w:space="0"/>
              <w:left w:val="single" w:color="000000" w:sz="4" w:space="0"/>
              <w:bottom w:val="single" w:color="auto" w:sz="4" w:space="0"/>
              <w:right w:val="single" w:color="000000" w:sz="4" w:space="0"/>
            </w:tcBorders>
            <w:vAlign w:val="center"/>
          </w:tcPr>
          <w:p w14:paraId="691493E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花洒</w:t>
            </w:r>
          </w:p>
        </w:tc>
        <w:tc>
          <w:tcPr>
            <w:tcW w:w="790" w:type="dxa"/>
            <w:tcBorders>
              <w:top w:val="single" w:color="000000" w:sz="4" w:space="0"/>
              <w:left w:val="single" w:color="000000" w:sz="4" w:space="0"/>
              <w:bottom w:val="single" w:color="auto" w:sz="4" w:space="0"/>
              <w:right w:val="single" w:color="000000" w:sz="4" w:space="0"/>
            </w:tcBorders>
            <w:vAlign w:val="center"/>
          </w:tcPr>
          <w:p w14:paraId="7E1AEAC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四功能款式</w:t>
            </w:r>
          </w:p>
        </w:tc>
        <w:tc>
          <w:tcPr>
            <w:tcW w:w="483" w:type="dxa"/>
            <w:tcBorders>
              <w:top w:val="single" w:color="000000" w:sz="4" w:space="0"/>
              <w:left w:val="single" w:color="000000" w:sz="4" w:space="0"/>
              <w:bottom w:val="single" w:color="auto" w:sz="4" w:space="0"/>
              <w:right w:val="single" w:color="000000" w:sz="4" w:space="0"/>
            </w:tcBorders>
            <w:vAlign w:val="center"/>
          </w:tcPr>
          <w:p w14:paraId="7E32C33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25</w:t>
            </w:r>
          </w:p>
        </w:tc>
        <w:tc>
          <w:tcPr>
            <w:tcW w:w="435" w:type="dxa"/>
            <w:tcBorders>
              <w:top w:val="single" w:color="000000" w:sz="4" w:space="0"/>
              <w:left w:val="single" w:color="000000" w:sz="4" w:space="0"/>
              <w:bottom w:val="single" w:color="auto" w:sz="4" w:space="0"/>
              <w:right w:val="single" w:color="000000" w:sz="4" w:space="0"/>
            </w:tcBorders>
            <w:vAlign w:val="center"/>
          </w:tcPr>
          <w:p w14:paraId="58C2518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个</w:t>
            </w:r>
          </w:p>
        </w:tc>
        <w:tc>
          <w:tcPr>
            <w:tcW w:w="5807" w:type="dxa"/>
            <w:tcBorders>
              <w:top w:val="single" w:color="000000" w:sz="4" w:space="0"/>
              <w:left w:val="single" w:color="000000" w:sz="4" w:space="0"/>
              <w:bottom w:val="single" w:color="auto" w:sz="4" w:space="0"/>
              <w:right w:val="single" w:color="000000" w:sz="4" w:space="0"/>
            </w:tcBorders>
            <w:vAlign w:val="center"/>
          </w:tcPr>
          <w:p w14:paraId="181DC770">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多功能四挡调节、品牌花洒</w:t>
            </w:r>
          </w:p>
        </w:tc>
        <w:tc>
          <w:tcPr>
            <w:tcW w:w="475" w:type="dxa"/>
            <w:tcBorders>
              <w:top w:val="single" w:color="000000" w:sz="4" w:space="0"/>
              <w:left w:val="single" w:color="000000" w:sz="4" w:space="0"/>
              <w:bottom w:val="single" w:color="auto" w:sz="4" w:space="0"/>
              <w:right w:val="single" w:color="000000" w:sz="12" w:space="0"/>
            </w:tcBorders>
            <w:vAlign w:val="center"/>
          </w:tcPr>
          <w:p w14:paraId="64638A34">
            <w:pPr>
              <w:rPr>
                <w:rFonts w:hint="eastAsia" w:ascii="仿宋" w:hAnsi="仿宋" w:eastAsia="仿宋" w:cs="仿宋"/>
                <w:i w:val="0"/>
                <w:color w:val="000000" w:themeColor="text1"/>
                <w:sz w:val="21"/>
                <w:szCs w:val="21"/>
                <w:highlight w:val="none"/>
                <w:u w:val="none"/>
                <w14:textFill>
                  <w14:solidFill>
                    <w14:schemeClr w14:val="tx1"/>
                  </w14:solidFill>
                </w14:textFill>
              </w:rPr>
            </w:pPr>
          </w:p>
        </w:tc>
      </w:tr>
      <w:tr w14:paraId="7718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071" w:type="dxa"/>
            <w:gridSpan w:val="8"/>
            <w:tcBorders>
              <w:top w:val="single" w:color="auto" w:sz="4" w:space="0"/>
              <w:left w:val="single" w:color="auto" w:sz="4" w:space="0"/>
              <w:bottom w:val="single" w:color="auto" w:sz="4" w:space="0"/>
              <w:right w:val="single" w:color="auto" w:sz="4" w:space="0"/>
            </w:tcBorders>
            <w:vAlign w:val="center"/>
          </w:tcPr>
          <w:p w14:paraId="24C55C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2" w:firstLineChars="200"/>
              <w:jc w:val="left"/>
              <w:textAlignment w:val="center"/>
              <w:outlineLvl w:val="9"/>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备注：投标</w:t>
            </w:r>
            <w:r>
              <w:rPr>
                <w:rFonts w:hint="eastAsia" w:ascii="仿宋" w:hAnsi="仿宋" w:cs="仿宋"/>
                <w:b/>
                <w:i w:val="0"/>
                <w:color w:val="000000" w:themeColor="text1"/>
                <w:kern w:val="0"/>
                <w:sz w:val="21"/>
                <w:szCs w:val="21"/>
                <w:highlight w:val="none"/>
                <w:u w:val="none"/>
                <w:lang w:val="en-US" w:eastAsia="zh-CN" w:bidi="ar"/>
                <w14:textFill>
                  <w14:solidFill>
                    <w14:schemeClr w14:val="tx1"/>
                  </w14:solidFill>
                </w14:textFill>
              </w:rPr>
              <w:t>人</w:t>
            </w: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需按照该需求明细表逐项提供投标产品的全景照片或折页。其中需求表中2-25项需有现货库存，中标通知书发送后，由</w:t>
            </w:r>
            <w:r>
              <w:rPr>
                <w:rFonts w:hint="eastAsia" w:ascii="仿宋" w:hAnsi="仿宋" w:cs="仿宋"/>
                <w:b/>
                <w:i w:val="0"/>
                <w:color w:val="000000" w:themeColor="text1"/>
                <w:kern w:val="0"/>
                <w:sz w:val="21"/>
                <w:szCs w:val="21"/>
                <w:highlight w:val="none"/>
                <w:u w:val="none"/>
                <w:lang w:val="en-US" w:eastAsia="zh-CN" w:bidi="ar"/>
                <w14:textFill>
                  <w14:solidFill>
                    <w14:schemeClr w14:val="tx1"/>
                  </w14:solidFill>
                </w14:textFill>
              </w:rPr>
              <w:t>投标人</w:t>
            </w: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进行发货。</w:t>
            </w:r>
          </w:p>
        </w:tc>
      </w:tr>
    </w:tbl>
    <w:p w14:paraId="259DBCDC">
      <w:pPr>
        <w:pStyle w:val="123"/>
        <w:pageBreakBefore w:val="0"/>
        <w:numPr>
          <w:ilvl w:val="0"/>
          <w:numId w:val="0"/>
        </w:numPr>
        <w:kinsoku/>
        <w:wordWrap/>
        <w:overflowPunct/>
        <w:topLinePunct w:val="0"/>
        <w:autoSpaceDE/>
        <w:autoSpaceDN/>
        <w:bidi w:val="0"/>
        <w:spacing w:beforeLines="0" w:afterLines="0"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商务条件（以下内容均为不允许偏离的实质性要求，若有负偏离以无效标处理）</w:t>
      </w:r>
    </w:p>
    <w:p w14:paraId="5297AEA2">
      <w:pPr>
        <w:pStyle w:val="2"/>
        <w:numPr>
          <w:ilvl w:val="0"/>
          <w:numId w:val="0"/>
        </w:numPr>
        <w:spacing w:beforeLines="0" w:afterLines="0" w:line="360" w:lineRule="auto"/>
        <w:ind w:firstLine="482" w:firstLineChars="200"/>
        <w:rPr>
          <w:rFonts w:hint="eastAsia" w:ascii="仿宋" w:hAnsi="仿宋" w:cs="仿宋"/>
          <w:b/>
          <w:bCs/>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（一）供货期限：</w:t>
      </w:r>
      <w:r>
        <w:rPr>
          <w:rFonts w:hint="eastAsia" w:ascii="仿宋" w:hAnsi="仿宋" w:cs="仿宋"/>
          <w:color w:val="000000" w:themeColor="text1"/>
          <w:szCs w:val="24"/>
          <w:highlight w:val="none"/>
          <w:lang w:val="en-US" w:eastAsia="zh-CN"/>
          <w14:textFill>
            <w14:solidFill>
              <w14:schemeClr w14:val="tx1"/>
            </w14:solidFill>
          </w14:textFill>
        </w:rPr>
        <w:t>自合同签字生效之日起20个工作日内，将货物配送至招标人指定地点并完成货物的安装调试工作。</w:t>
      </w:r>
    </w:p>
    <w:p w14:paraId="3C5BFB09">
      <w:pPr>
        <w:pStyle w:val="2"/>
        <w:numPr>
          <w:ilvl w:val="0"/>
          <w:numId w:val="0"/>
        </w:numPr>
        <w:spacing w:beforeLines="0" w:afterLines="0" w:line="360" w:lineRule="auto"/>
        <w:ind w:firstLine="482" w:firstLineChars="200"/>
        <w:rPr>
          <w:rFonts w:hint="eastAsia" w:ascii="仿宋" w:hAnsi="仿宋" w:cs="仿宋"/>
          <w:b/>
          <w:bCs/>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（二）供货地点：</w:t>
      </w:r>
      <w:r>
        <w:rPr>
          <w:rFonts w:hint="eastAsia" w:ascii="仿宋" w:hAnsi="仿宋" w:cs="仿宋"/>
          <w:color w:val="000000" w:themeColor="text1"/>
          <w:szCs w:val="24"/>
          <w:highlight w:val="none"/>
          <w:lang w:val="en-US" w:eastAsia="zh-CN"/>
          <w14:textFill>
            <w14:solidFill>
              <w14:schemeClr w14:val="tx1"/>
            </w14:solidFill>
          </w14:textFill>
        </w:rPr>
        <w:t>中国银行海东分行、格尔木分行指定区域。</w:t>
      </w:r>
    </w:p>
    <w:p w14:paraId="0A41E0A7">
      <w:pPr>
        <w:pStyle w:val="2"/>
        <w:numPr>
          <w:ilvl w:val="0"/>
          <w:numId w:val="0"/>
        </w:numPr>
        <w:spacing w:beforeLines="0" w:afterLines="0" w:line="360" w:lineRule="auto"/>
        <w:ind w:firstLine="482" w:firstLineChars="200"/>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（三）运输要求：</w:t>
      </w:r>
      <w:r>
        <w:rPr>
          <w:rFonts w:hint="eastAsia" w:ascii="仿宋" w:hAnsi="仿宋" w:cs="仿宋"/>
          <w:color w:val="000000" w:themeColor="text1"/>
          <w:szCs w:val="24"/>
          <w:highlight w:val="none"/>
          <w:lang w:val="en-US" w:eastAsia="zh-CN"/>
          <w14:textFill>
            <w14:solidFill>
              <w14:schemeClr w14:val="tx1"/>
            </w14:solidFill>
          </w14:textFill>
        </w:rPr>
        <w:t>投标人交付的全部产品均应按照符合现行包装标准保护措施进行包装。该包装应当适应于远距离运输、防潮、防震、防锈和防野蛮装卸，以保证货物的存放和运输安全，确保货物安全无损运抵指定地点。由于包装不当而引起的产品损失或由于防护措施不善而引起产品损坏由供应商承担责任，并及时更换。供应商将采购货物运至招标人指定地点，经安装调试验收合格后，视为供应商已完成交货。</w:t>
      </w:r>
    </w:p>
    <w:p w14:paraId="39C1D336">
      <w:pPr>
        <w:pStyle w:val="2"/>
        <w:numPr>
          <w:ilvl w:val="0"/>
          <w:numId w:val="0"/>
        </w:numPr>
        <w:spacing w:beforeLines="0" w:afterLines="0" w:line="360" w:lineRule="auto"/>
        <w:ind w:firstLine="482" w:firstLineChars="200"/>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（四）质保期限：</w:t>
      </w:r>
      <w:r>
        <w:rPr>
          <w:rFonts w:hint="eastAsia" w:ascii="仿宋" w:hAnsi="仿宋" w:cs="仿宋"/>
          <w:color w:val="000000" w:themeColor="text1"/>
          <w:szCs w:val="24"/>
          <w:highlight w:val="none"/>
          <w:lang w:val="en-US" w:eastAsia="zh-CN"/>
          <w14:textFill>
            <w14:solidFill>
              <w14:schemeClr w14:val="tx1"/>
            </w14:solidFill>
          </w14:textFill>
        </w:rPr>
        <w:t>自货物完成安装调试经招标人验收合格之日起5年。质保期内，由供应商提供免费的原厂质保服务。</w:t>
      </w:r>
    </w:p>
    <w:p w14:paraId="74AA4EA6">
      <w:pPr>
        <w:pStyle w:val="2"/>
        <w:widowControl w:val="0"/>
        <w:numPr>
          <w:ilvl w:val="0"/>
          <w:numId w:val="0"/>
        </w:numPr>
        <w:adjustRightInd w:val="0"/>
        <w:spacing w:beforeLines="0" w:afterLines="0" w:line="360" w:lineRule="auto"/>
        <w:ind w:firstLine="482"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（五）付款方式:</w:t>
      </w:r>
      <w:r>
        <w:rPr>
          <w:rFonts w:hint="eastAsia" w:ascii="仿宋" w:hAnsi="仿宋" w:cs="仿宋"/>
          <w:color w:val="000000" w:themeColor="text1"/>
          <w:szCs w:val="24"/>
          <w:highlight w:val="none"/>
          <w:lang w:val="en-US" w:eastAsia="zh-CN"/>
          <w14:textFill>
            <w14:solidFill>
              <w14:schemeClr w14:val="tx1"/>
            </w14:solidFill>
          </w14:textFill>
        </w:rPr>
        <w:t>家具到货完成安装验收合格后，供应商开具符合招标人财务制度要求的增值税发票后，20个工作日内支付货物总价款的95%，剩余5%待质保期满无异议后一次性付清。</w:t>
      </w:r>
    </w:p>
    <w:p w14:paraId="0B8499EE">
      <w:pPr>
        <w:pStyle w:val="2"/>
        <w:widowControl w:val="0"/>
        <w:numPr>
          <w:ilvl w:val="0"/>
          <w:numId w:val="0"/>
        </w:numPr>
        <w:adjustRightInd w:val="0"/>
        <w:spacing w:beforeLines="0" w:afterLines="0" w:line="360" w:lineRule="auto"/>
        <w:ind w:firstLine="482" w:firstLineChars="200"/>
        <w:jc w:val="left"/>
        <w:textAlignment w:val="baseline"/>
        <w:rPr>
          <w:rFonts w:hint="eastAsia" w:ascii="仿宋" w:hAnsi="仿宋" w:cs="仿宋"/>
          <w:b/>
          <w:bCs/>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（六）验收方案及要求：</w:t>
      </w:r>
    </w:p>
    <w:p w14:paraId="7B0C3529">
      <w:pPr>
        <w:pStyle w:val="2"/>
        <w:widowControl w:val="0"/>
        <w:numPr>
          <w:ilvl w:val="0"/>
          <w:numId w:val="0"/>
        </w:numPr>
        <w:adjustRightInd w:val="0"/>
        <w:spacing w:beforeLines="0" w:afterLines="0" w:line="360" w:lineRule="auto"/>
        <w:ind w:firstLine="482" w:firstLineChars="200"/>
        <w:jc w:val="left"/>
        <w:textAlignment w:val="baseline"/>
        <w:rPr>
          <w:rFonts w:hint="eastAsia" w:ascii="仿宋" w:hAnsi="仿宋" w:cs="仿宋"/>
          <w:b/>
          <w:bCs/>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1.初步验收</w:t>
      </w:r>
    </w:p>
    <w:p w14:paraId="29DB7006">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供应商将货物送至招标人指定的地点，由招标人专人对产品的数量、型号、外观质量、出厂资料等进行检查。经招标人确认货物种类、规格、品牌、数量、包装、出厂资料等与采购同约定一致的，招标人签收。在初步验收过程中发现数量不足或有质量等问题，供应商应负责按照招标人的要求采取补足、更换或退货等处理措施，并承担由此发生的一切费用和损失。招标人在收货的过程中，仅对货物的品种、数量及包装要求等进行初步检验，招标人在收货时签收不代表对货物质量的验收。</w:t>
      </w:r>
    </w:p>
    <w:p w14:paraId="3BFC574A">
      <w:pPr>
        <w:pStyle w:val="2"/>
        <w:widowControl w:val="0"/>
        <w:numPr>
          <w:ilvl w:val="0"/>
          <w:numId w:val="0"/>
        </w:numPr>
        <w:adjustRightInd w:val="0"/>
        <w:spacing w:beforeLines="0" w:afterLines="0" w:line="360" w:lineRule="auto"/>
        <w:ind w:firstLine="482" w:firstLineChars="200"/>
        <w:jc w:val="left"/>
        <w:textAlignment w:val="baseline"/>
        <w:rPr>
          <w:rFonts w:hint="eastAsia" w:ascii="仿宋" w:hAnsi="仿宋" w:cs="仿宋"/>
          <w:b/>
          <w:bCs/>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2.最终验收</w:t>
      </w:r>
    </w:p>
    <w:p w14:paraId="04CB875F">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供应商完成安装后，应提请招标人按照项目需求及供应商应答的质量标准进行最终验收。验收标准为：货物外形完好、数量无误；货物质量符合合同要求及标准，供应商对该货物有质量说明的，也应符合该质量说明；供应商应提供货物合格证或质量保证书及必要的技术资料；招标人认可货物的安装、测试无问题；如发现质量、规格和数量等任何一项与采购要求规定不符，招标人有权拒绝接受，由供应商按要求进行更换或整改；家具安装完成后，招标人将指定具备检测资质的公司开展甲醛检测，如检测不合格，费用由供应商承担且供应商需根据要求进行治理或更换不合格家具，直至达标为准。验收完成后，由供应商撰写验收报告，双方签字确认后视为验收合格。</w:t>
      </w:r>
    </w:p>
    <w:p w14:paraId="093C5165">
      <w:pPr>
        <w:pStyle w:val="2"/>
        <w:widowControl w:val="0"/>
        <w:numPr>
          <w:ilvl w:val="0"/>
          <w:numId w:val="0"/>
        </w:numPr>
        <w:adjustRightInd w:val="0"/>
        <w:spacing w:beforeLines="0" w:afterLines="0" w:line="360" w:lineRule="auto"/>
        <w:ind w:firstLine="482" w:firstLineChars="200"/>
        <w:jc w:val="left"/>
        <w:textAlignment w:val="baseline"/>
        <w:rPr>
          <w:rFonts w:hint="eastAsia" w:ascii="仿宋" w:hAnsi="仿宋" w:cs="仿宋"/>
          <w:b/>
          <w:bCs/>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（七）质保期维护要求：</w:t>
      </w:r>
    </w:p>
    <w:p w14:paraId="7C751977">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1.质保期内，投标人需提供免费质保服务，本项目所购货物质保期为5年。质保期自双方在验收报告上签字之日起开始计算。投标人承诺至少保证提供5年以上货物的零配件供应，避免因相关零配件停产造成货物无法正常维护的情形发生。</w:t>
      </w:r>
    </w:p>
    <w:p w14:paraId="77664A15">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投标人负责提供货物的安装、调试和技术支持服务。在质保期内，货物出现故障，供应商负责提供免费保修服务，对于在保修期内维修或更换的零部件应重新计算保修期；在质保期外，投标人提供有偿服务，维修的零部件按成本价计算。但无论是否在保修期内，供应商均保证在2小时内响应，并在2个工作日内解决问题。</w:t>
      </w:r>
    </w:p>
    <w:p w14:paraId="01EA3BE8">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b/>
          <w:bCs/>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2.</w:t>
      </w:r>
      <w:r>
        <w:rPr>
          <w:rFonts w:hint="eastAsia" w:ascii="仿宋" w:hAnsi="仿宋" w:cs="仿宋"/>
          <w:b/>
          <w:bCs/>
          <w:color w:val="000000" w:themeColor="text1"/>
          <w:szCs w:val="24"/>
          <w:highlight w:val="none"/>
          <w:lang w:val="en-US" w:eastAsia="zh-CN"/>
          <w14:textFill>
            <w14:solidFill>
              <w14:schemeClr w14:val="tx1"/>
            </w14:solidFill>
          </w14:textFill>
        </w:rPr>
        <w:t>投标人应指派专人与招标人对接项目，指派服务人员应与标书保持一致，如需更换，需经我行同意。</w:t>
      </w:r>
    </w:p>
    <w:p w14:paraId="1F9D55A2">
      <w:pPr>
        <w:pStyle w:val="2"/>
        <w:widowControl w:val="0"/>
        <w:numPr>
          <w:ilvl w:val="0"/>
          <w:numId w:val="0"/>
        </w:numPr>
        <w:adjustRightInd w:val="0"/>
        <w:spacing w:beforeLines="0" w:afterLines="0" w:line="360" w:lineRule="auto"/>
        <w:ind w:firstLine="482" w:firstLineChars="200"/>
        <w:jc w:val="left"/>
        <w:textAlignment w:val="baseline"/>
        <w:rPr>
          <w:rFonts w:hint="eastAsia" w:ascii="仿宋" w:hAnsi="仿宋" w:cs="仿宋"/>
          <w:b/>
          <w:bCs/>
          <w:color w:val="000000" w:themeColor="text1"/>
          <w:szCs w:val="24"/>
          <w:highlight w:val="none"/>
          <w:lang w:val="en-US" w:eastAsia="zh-CN"/>
          <w14:textFill>
            <w14:solidFill>
              <w14:schemeClr w14:val="tx1"/>
            </w14:solidFill>
          </w14:textFill>
        </w:rPr>
      </w:pPr>
      <w:r>
        <w:rPr>
          <w:rFonts w:hint="eastAsia" w:ascii="仿宋" w:hAnsi="仿宋" w:cs="仿宋"/>
          <w:b/>
          <w:bCs/>
          <w:color w:val="000000" w:themeColor="text1"/>
          <w:szCs w:val="24"/>
          <w:highlight w:val="none"/>
          <w:lang w:val="en-US" w:eastAsia="zh-CN"/>
          <w14:textFill>
            <w14:solidFill>
              <w14:schemeClr w14:val="tx1"/>
            </w14:solidFill>
          </w14:textFill>
        </w:rPr>
        <w:t>（八）供应商违约罚则：</w:t>
      </w:r>
    </w:p>
    <w:p w14:paraId="591FEC04">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1.由于供应商的原因造成其提供的产品和服务不能满足采购需求的，招标人有权解除合同，并无需支付任何费用，并由供应商赔偿由此给招标人带来的相关损失。</w:t>
      </w:r>
    </w:p>
    <w:p w14:paraId="3796E089">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2.供应商未在本项目合同规定的时间内完成产品交付及安装调试工作的，应向招标人支付合同总价款20%的违约金，如逾期超过10日，招标人有权解除合同，并追究由此产生的一切损失。供应商产品交付及安装不符合本项目需求及合同规定的，应在接到招标人通知后10日内修改、完善，并承担因此产生的全部费用和损失。</w:t>
      </w:r>
    </w:p>
    <w:p w14:paraId="54D1CA27">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3.供应商应完全按照采购邀请文件的要求和投标文件的响应向采购方提供产品和服务，若因虚假响应导致不能满足采购方需求，视为合同违约，投标人须向采购方支付违约金，金额为合同总价款的20%。</w:t>
      </w:r>
    </w:p>
    <w:p w14:paraId="7CA002D3">
      <w:pPr>
        <w:pStyle w:val="2"/>
        <w:widowControl w:val="0"/>
        <w:numPr>
          <w:ilvl w:val="0"/>
          <w:numId w:val="0"/>
        </w:numPr>
        <w:adjustRightInd w:val="0"/>
        <w:spacing w:beforeLines="0" w:afterLines="0" w:line="360" w:lineRule="auto"/>
        <w:ind w:firstLine="480" w:firstLineChars="200"/>
        <w:jc w:val="left"/>
        <w:textAlignment w:val="baseline"/>
        <w:rPr>
          <w:rFonts w:hint="eastAsia" w:ascii="仿宋" w:hAnsi="仿宋" w:cs="仿宋"/>
          <w:color w:val="000000" w:themeColor="text1"/>
          <w:szCs w:val="24"/>
          <w:highlight w:val="none"/>
          <w:lang w:val="en-US"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其他违约条款，具体以合同为准。</w:t>
      </w:r>
    </w:p>
    <w:p w14:paraId="268CC472">
      <w:pPr>
        <w:pStyle w:val="2"/>
        <w:widowControl w:val="0"/>
        <w:numPr>
          <w:ilvl w:val="0"/>
          <w:numId w:val="0"/>
        </w:numPr>
        <w:adjustRightInd w:val="0"/>
        <w:spacing w:beforeLines="0" w:afterLines="0" w:line="360" w:lineRule="auto"/>
        <w:ind w:firstLine="482" w:firstLineChars="200"/>
        <w:jc w:val="left"/>
        <w:textAlignment w:val="baseline"/>
        <w:rPr>
          <w:rFonts w:hint="eastAsia" w:ascii="仿宋" w:hAnsi="仿宋" w:cs="仿宋"/>
          <w:b/>
          <w:bCs/>
          <w:color w:val="000000" w:themeColor="text1"/>
          <w:szCs w:val="24"/>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b/>
          <w:bCs/>
          <w:color w:val="000000" w:themeColor="text1"/>
          <w:szCs w:val="24"/>
          <w:highlight w:val="none"/>
          <w:lang w:val="en-US" w:eastAsia="zh-CN"/>
          <w14:textFill>
            <w14:solidFill>
              <w14:schemeClr w14:val="tx1"/>
            </w14:solidFill>
          </w14:textFill>
        </w:rPr>
        <w:t>（九）报价要求：</w:t>
      </w:r>
      <w:r>
        <w:rPr>
          <w:rFonts w:hint="eastAsia" w:ascii="仿宋" w:hAnsi="仿宋" w:cs="仿宋"/>
          <w:color w:val="000000" w:themeColor="text1"/>
          <w:szCs w:val="24"/>
          <w:highlight w:val="none"/>
          <w:lang w:val="en-US" w:eastAsia="zh-CN"/>
          <w14:textFill>
            <w14:solidFill>
              <w14:schemeClr w14:val="tx1"/>
            </w14:solidFill>
          </w14:textFill>
        </w:rPr>
        <w:t>本项目投标限价为834750元（含税），其中：格尔木分行办公家具限价为356550元（含税）、宿舍家具的限价为197700元（含税）、海东分行宿舍家具限价为280500元（含税），投标人须在限价范围内报价，总项和各分项均不得超限价，超限价则投标无效。由投标人根据采购需求，报单价和总价，报价包含安装、运输、质保等一切费用。</w:t>
      </w:r>
    </w:p>
    <w:p w14:paraId="61C505CC">
      <w:pPr>
        <w:pStyle w:val="3"/>
        <w:spacing w:line="360" w:lineRule="auto"/>
        <w:jc w:val="center"/>
        <w:rPr>
          <w:rFonts w:ascii="仿宋" w:hAnsi="仿宋" w:cs="仿宋"/>
          <w:color w:val="000000" w:themeColor="text1"/>
          <w:sz w:val="24"/>
          <w:szCs w:val="24"/>
          <w:highlight w:val="none"/>
          <w14:textFill>
            <w14:solidFill>
              <w14:schemeClr w14:val="tx1"/>
            </w14:solidFill>
          </w14:textFill>
        </w:rPr>
      </w:pPr>
      <w:bookmarkStart w:id="274" w:name="_Toc7280"/>
      <w:bookmarkStart w:id="275" w:name="_Toc22954"/>
      <w:bookmarkStart w:id="276" w:name="_Toc149230417"/>
      <w:bookmarkStart w:id="277" w:name="_Toc7109"/>
      <w:bookmarkStart w:id="278" w:name="_Toc17904"/>
      <w:bookmarkStart w:id="279" w:name="_Toc24263"/>
      <w:bookmarkStart w:id="280" w:name="_Toc24843"/>
      <w:bookmarkStart w:id="281" w:name="_Toc9780"/>
      <w:bookmarkStart w:id="282" w:name="_Toc30287"/>
      <w:bookmarkStart w:id="283" w:name="_Toc30359"/>
      <w:bookmarkStart w:id="284" w:name="_Toc21497"/>
      <w:bookmarkStart w:id="285" w:name="_Toc150933636"/>
      <w:bookmarkStart w:id="286" w:name="_Toc25905"/>
      <w:bookmarkStart w:id="287" w:name="_Toc9550"/>
      <w:r>
        <w:rPr>
          <w:rFonts w:hint="eastAsia" w:ascii="仿宋" w:hAnsi="仿宋" w:cs="仿宋"/>
          <w:color w:val="000000" w:themeColor="text1"/>
          <w:sz w:val="24"/>
          <w:szCs w:val="24"/>
          <w:highlight w:val="none"/>
          <w14:textFill>
            <w14:solidFill>
              <w14:schemeClr w14:val="tx1"/>
            </w14:solidFill>
          </w14:textFill>
        </w:rPr>
        <w:t>第六部分 附  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005E1BD6">
      <w:pPr>
        <w:spacing w:line="360" w:lineRule="auto"/>
        <w:ind w:left="840"/>
        <w:rPr>
          <w:rFonts w:ascii="仿宋" w:hAnsi="仿宋" w:cs="仿宋"/>
          <w:i/>
          <w:iCs/>
          <w:color w:val="000000" w:themeColor="text1"/>
          <w:highlight w:val="none"/>
          <w14:textFill>
            <w14:solidFill>
              <w14:schemeClr w14:val="tx1"/>
            </w14:solidFill>
          </w14:textFill>
        </w:rPr>
      </w:pPr>
      <w:r>
        <w:rPr>
          <w:rFonts w:hint="eastAsia" w:ascii="仿宋" w:hAnsi="仿宋" w:cs="仿宋"/>
          <w:i/>
          <w:iCs/>
          <w:color w:val="000000" w:themeColor="text1"/>
          <w:highlight w:val="none"/>
          <w14:textFill>
            <w14:solidFill>
              <w14:schemeClr w14:val="tx1"/>
            </w14:solidFill>
          </w14:textFill>
        </w:rPr>
        <w:t xml:space="preserve"> </w:t>
      </w:r>
    </w:p>
    <w:p w14:paraId="3C589C4B">
      <w:pPr>
        <w:pStyle w:val="4"/>
        <w:jc w:val="center"/>
        <w:rPr>
          <w:rFonts w:hint="eastAsia" w:ascii="仿宋" w:hAnsi="仿宋" w:eastAsia="仿宋" w:cs="仿宋"/>
          <w:color w:val="000000" w:themeColor="text1"/>
          <w:sz w:val="30"/>
          <w:szCs w:val="30"/>
          <w:highlight w:val="none"/>
          <w:lang w:eastAsia="zh-CN"/>
          <w14:textFill>
            <w14:solidFill>
              <w14:schemeClr w14:val="tx1"/>
            </w14:solidFill>
          </w14:textFill>
        </w:rPr>
      </w:pPr>
    </w:p>
    <w:p w14:paraId="7B0262EE">
      <w:pPr>
        <w:pStyle w:val="4"/>
        <w:jc w:val="center"/>
        <w:rPr>
          <w:rFonts w:hint="eastAsia" w:ascii="仿宋" w:hAnsi="仿宋" w:eastAsia="仿宋" w:cs="仿宋"/>
          <w:color w:val="000000" w:themeColor="text1"/>
          <w:sz w:val="30"/>
          <w:szCs w:val="30"/>
          <w:highlight w:val="none"/>
          <w:lang w:eastAsia="zh-CN"/>
          <w14:textFill>
            <w14:solidFill>
              <w14:schemeClr w14:val="tx1"/>
            </w14:solidFill>
          </w14:textFill>
        </w:rPr>
      </w:pPr>
    </w:p>
    <w:p w14:paraId="6DB450FE">
      <w:pPr>
        <w:pStyle w:val="4"/>
        <w:jc w:val="center"/>
        <w:rPr>
          <w:rFonts w:hint="eastAsia" w:ascii="仿宋" w:hAnsi="仿宋" w:eastAsia="仿宋" w:cs="仿宋"/>
          <w:color w:val="000000" w:themeColor="text1"/>
          <w:sz w:val="30"/>
          <w:szCs w:val="30"/>
          <w:highlight w:val="none"/>
          <w:lang w:eastAsia="zh-CN"/>
          <w14:textFill>
            <w14:solidFill>
              <w14:schemeClr w14:val="tx1"/>
            </w14:solidFill>
          </w14:textFill>
        </w:rPr>
      </w:pPr>
      <w:bookmarkStart w:id="288" w:name="_Toc30228"/>
      <w:r>
        <w:rPr>
          <w:rFonts w:hint="eastAsia" w:ascii="仿宋" w:hAnsi="仿宋" w:eastAsia="仿宋" w:cs="仿宋"/>
          <w:color w:val="000000" w:themeColor="text1"/>
          <w:sz w:val="30"/>
          <w:szCs w:val="30"/>
          <w:highlight w:val="none"/>
          <w:lang w:eastAsia="zh-CN"/>
          <w14:textFill>
            <w14:solidFill>
              <w14:schemeClr w14:val="tx1"/>
            </w14:solidFill>
          </w14:textFill>
        </w:rPr>
        <w:t>投标文件格式</w:t>
      </w:r>
      <w:bookmarkEnd w:id="288"/>
    </w:p>
    <w:p w14:paraId="4877F751">
      <w:pPr>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br w:type="page"/>
      </w:r>
    </w:p>
    <w:p w14:paraId="38E25007">
      <w:pPr>
        <w:rPr>
          <w:rFonts w:hint="eastAsia"/>
          <w:color w:val="000000" w:themeColor="text1"/>
          <w:highlight w:val="none"/>
          <w:lang w:eastAsia="zh-CN"/>
          <w14:textFill>
            <w14:solidFill>
              <w14:schemeClr w14:val="tx1"/>
            </w14:solidFill>
          </w14:textFill>
        </w:rPr>
      </w:pPr>
    </w:p>
    <w:p w14:paraId="7686EB11">
      <w:pPr>
        <w:pStyle w:val="124"/>
        <w:widowControl w:val="0"/>
        <w:spacing w:line="360" w:lineRule="auto"/>
        <w:jc w:val="center"/>
        <w:outlineLvl w:val="0"/>
        <w:rPr>
          <w:rFonts w:hint="eastAsia" w:ascii="仿宋" w:hAnsi="仿宋" w:eastAsia="仿宋" w:cs="仿宋"/>
          <w:b/>
          <w:bCs/>
          <w:color w:val="000000" w:themeColor="text1"/>
          <w:kern w:val="2"/>
          <w:sz w:val="72"/>
          <w:szCs w:val="72"/>
          <w:highlight w:val="none"/>
          <w:lang w:eastAsia="zh-CN"/>
          <w14:textFill>
            <w14:solidFill>
              <w14:schemeClr w14:val="tx1"/>
            </w14:solidFill>
          </w14:textFill>
        </w:rPr>
      </w:pPr>
      <w:bookmarkStart w:id="289" w:name="_Toc3837"/>
      <w:r>
        <w:rPr>
          <w:rFonts w:hint="eastAsia" w:ascii="仿宋" w:hAnsi="仿宋" w:eastAsia="仿宋" w:cs="仿宋"/>
          <w:b/>
          <w:bCs/>
          <w:color w:val="000000" w:themeColor="text1"/>
          <w:kern w:val="2"/>
          <w:sz w:val="72"/>
          <w:szCs w:val="72"/>
          <w:highlight w:val="none"/>
          <w:lang w:eastAsia="zh-CN"/>
          <w14:textFill>
            <w14:solidFill>
              <w14:schemeClr w14:val="tx1"/>
            </w14:solidFill>
          </w14:textFill>
        </w:rPr>
        <w:t>投标文件</w:t>
      </w:r>
      <w:bookmarkEnd w:id="289"/>
    </w:p>
    <w:p w14:paraId="72D2675F">
      <w:pPr>
        <w:pStyle w:val="124"/>
        <w:widowControl w:val="0"/>
        <w:spacing w:line="360" w:lineRule="auto"/>
        <w:jc w:val="both"/>
        <w:outlineLvl w:val="0"/>
        <w:rPr>
          <w:rFonts w:hint="eastAsia" w:ascii="仿宋" w:hAnsi="仿宋" w:eastAsia="仿宋" w:cs="仿宋"/>
          <w:b/>
          <w:bCs/>
          <w:color w:val="000000" w:themeColor="text1"/>
          <w:kern w:val="2"/>
          <w:sz w:val="72"/>
          <w:szCs w:val="72"/>
          <w:highlight w:val="none"/>
          <w:lang w:eastAsia="zh-CN"/>
          <w14:textFill>
            <w14:solidFill>
              <w14:schemeClr w14:val="tx1"/>
            </w14:solidFill>
          </w14:textFill>
        </w:rPr>
      </w:pPr>
    </w:p>
    <w:p w14:paraId="39C19951">
      <w:pPr>
        <w:pStyle w:val="124"/>
        <w:widowControl w:val="0"/>
        <w:spacing w:line="360" w:lineRule="auto"/>
        <w:jc w:val="center"/>
        <w:outlineLvl w:val="0"/>
        <w:rPr>
          <w:rFonts w:hint="eastAsia" w:ascii="仿宋" w:hAnsi="仿宋" w:eastAsia="仿宋" w:cs="仿宋"/>
          <w:b/>
          <w:bCs/>
          <w:color w:val="000000" w:themeColor="text1"/>
          <w:kern w:val="2"/>
          <w:sz w:val="72"/>
          <w:szCs w:val="72"/>
          <w:highlight w:val="none"/>
          <w:lang w:eastAsia="zh-CN"/>
          <w14:textFill>
            <w14:solidFill>
              <w14:schemeClr w14:val="tx1"/>
            </w14:solidFill>
          </w14:textFill>
        </w:rPr>
      </w:pPr>
      <w:bookmarkStart w:id="290" w:name="_Toc26960"/>
      <w:r>
        <w:rPr>
          <w:rFonts w:hint="eastAsia" w:ascii="仿宋" w:hAnsi="仿宋" w:eastAsia="仿宋" w:cs="仿宋"/>
          <w:b/>
          <w:bCs/>
          <w:color w:val="000000" w:themeColor="text1"/>
          <w:kern w:val="2"/>
          <w:sz w:val="72"/>
          <w:szCs w:val="72"/>
          <w:highlight w:val="none"/>
          <w:lang w:eastAsia="zh-CN"/>
          <w14:textFill>
            <w14:solidFill>
              <w14:schemeClr w14:val="tx1"/>
            </w14:solidFill>
          </w14:textFill>
        </w:rPr>
        <w:t>（正本</w:t>
      </w:r>
      <w:r>
        <w:rPr>
          <w:rFonts w:hint="eastAsia" w:ascii="仿宋" w:hAnsi="仿宋" w:eastAsia="仿宋" w:cs="仿宋"/>
          <w:b/>
          <w:bCs/>
          <w:color w:val="000000" w:themeColor="text1"/>
          <w:kern w:val="2"/>
          <w:sz w:val="72"/>
          <w:szCs w:val="72"/>
          <w:highlight w:val="none"/>
          <w:lang w:val="en-US" w:eastAsia="zh-CN"/>
          <w14:textFill>
            <w14:solidFill>
              <w14:schemeClr w14:val="tx1"/>
            </w14:solidFill>
          </w14:textFill>
        </w:rPr>
        <w:t>/副本</w:t>
      </w:r>
      <w:r>
        <w:rPr>
          <w:rFonts w:hint="eastAsia" w:ascii="仿宋" w:hAnsi="仿宋" w:eastAsia="仿宋" w:cs="仿宋"/>
          <w:b/>
          <w:bCs/>
          <w:color w:val="000000" w:themeColor="text1"/>
          <w:kern w:val="2"/>
          <w:sz w:val="72"/>
          <w:szCs w:val="72"/>
          <w:highlight w:val="none"/>
          <w:lang w:eastAsia="zh-CN"/>
          <w14:textFill>
            <w14:solidFill>
              <w14:schemeClr w14:val="tx1"/>
            </w14:solidFill>
          </w14:textFill>
        </w:rPr>
        <w:t>）</w:t>
      </w:r>
      <w:bookmarkEnd w:id="290"/>
    </w:p>
    <w:p w14:paraId="25517881">
      <w:pPr>
        <w:pStyle w:val="124"/>
        <w:widowControl w:val="0"/>
        <w:spacing w:line="360" w:lineRule="auto"/>
        <w:jc w:val="center"/>
        <w:outlineLvl w:val="0"/>
        <w:rPr>
          <w:rFonts w:hint="eastAsia" w:ascii="仿宋" w:hAnsi="仿宋" w:eastAsia="仿宋" w:cs="仿宋"/>
          <w:b/>
          <w:bCs/>
          <w:color w:val="000000" w:themeColor="text1"/>
          <w:kern w:val="2"/>
          <w:sz w:val="72"/>
          <w:szCs w:val="72"/>
          <w:highlight w:val="none"/>
          <w:lang w:eastAsia="zh-CN"/>
          <w14:textFill>
            <w14:solidFill>
              <w14:schemeClr w14:val="tx1"/>
            </w14:solidFill>
          </w14:textFill>
        </w:rPr>
      </w:pPr>
    </w:p>
    <w:p w14:paraId="788BEEF3">
      <w:pPr>
        <w:pStyle w:val="124"/>
        <w:widowControl w:val="0"/>
        <w:spacing w:line="360" w:lineRule="auto"/>
        <w:jc w:val="center"/>
        <w:outlineLvl w:val="0"/>
        <w:rPr>
          <w:rFonts w:hint="eastAsia" w:ascii="仿宋" w:hAnsi="仿宋" w:eastAsia="仿宋" w:cs="仿宋"/>
          <w:color w:val="000000" w:themeColor="text1"/>
          <w:sz w:val="24"/>
          <w:szCs w:val="24"/>
          <w:highlight w:val="none"/>
          <w:lang w:eastAsia="zh-CN"/>
          <w14:textFill>
            <w14:solidFill>
              <w14:schemeClr w14:val="tx1"/>
            </w14:solidFill>
          </w14:textFill>
        </w:rPr>
      </w:pPr>
    </w:p>
    <w:p w14:paraId="76930B02">
      <w:pPr>
        <w:pStyle w:val="124"/>
        <w:widowControl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65F95C8A">
      <w:pPr>
        <w:pStyle w:val="124"/>
        <w:widowControl w:val="0"/>
        <w:spacing w:line="360" w:lineRule="auto"/>
        <w:jc w:val="both"/>
        <w:outlineLvl w:val="2"/>
        <w:rPr>
          <w:rFonts w:hint="eastAsia" w:ascii="仿宋" w:hAnsi="仿宋" w:eastAsia="仿宋" w:cs="仿宋"/>
          <w:color w:val="000000" w:themeColor="text1"/>
          <w:sz w:val="36"/>
          <w:szCs w:val="36"/>
          <w:highlight w:val="none"/>
          <w14:textFill>
            <w14:solidFill>
              <w14:schemeClr w14:val="tx1"/>
            </w14:solidFill>
          </w14:textFill>
        </w:rPr>
      </w:pPr>
      <w:bookmarkStart w:id="291" w:name="_Toc27042"/>
      <w:r>
        <w:rPr>
          <w:rFonts w:hint="eastAsia" w:ascii="仿宋" w:hAnsi="仿宋" w:eastAsia="仿宋" w:cs="仿宋"/>
          <w:b/>
          <w:color w:val="000000" w:themeColor="text1"/>
          <w:sz w:val="36"/>
          <w:szCs w:val="36"/>
          <w:highlight w:val="none"/>
          <w14:textFill>
            <w14:solidFill>
              <w14:schemeClr w14:val="tx1"/>
            </w14:solidFill>
          </w14:textFill>
        </w:rPr>
        <w:t>项目名称：</w:t>
      </w:r>
      <w:bookmarkEnd w:id="291"/>
      <w:r>
        <w:rPr>
          <w:rFonts w:hint="eastAsia" w:ascii="仿宋" w:hAnsi="仿宋" w:eastAsia="仿宋" w:cs="仿宋"/>
          <w:b/>
          <w:color w:val="000000" w:themeColor="text1"/>
          <w:sz w:val="36"/>
          <w:szCs w:val="36"/>
          <w:highlight w:val="none"/>
          <w:u w:val="single"/>
          <w14:textFill>
            <w14:solidFill>
              <w14:schemeClr w14:val="tx1"/>
            </w14:solidFill>
          </w14:textFill>
        </w:rPr>
        <w:t xml:space="preserve">                      </w:t>
      </w:r>
    </w:p>
    <w:p w14:paraId="62EA157A">
      <w:pPr>
        <w:pStyle w:val="124"/>
        <w:widowControl w:val="0"/>
        <w:spacing w:line="360" w:lineRule="auto"/>
        <w:jc w:val="both"/>
        <w:outlineLvl w:val="2"/>
        <w:rPr>
          <w:rFonts w:hint="eastAsia" w:ascii="仿宋" w:hAnsi="仿宋" w:eastAsia="仿宋" w:cs="仿宋"/>
          <w:color w:val="000000" w:themeColor="text1"/>
          <w:sz w:val="36"/>
          <w:szCs w:val="36"/>
          <w:highlight w:val="none"/>
          <w14:textFill>
            <w14:solidFill>
              <w14:schemeClr w14:val="tx1"/>
            </w14:solidFill>
          </w14:textFill>
        </w:rPr>
      </w:pPr>
      <w:bookmarkStart w:id="292" w:name="_Toc32640"/>
      <w:r>
        <w:rPr>
          <w:rFonts w:hint="eastAsia" w:ascii="仿宋" w:hAnsi="仿宋" w:eastAsia="仿宋" w:cs="仿宋"/>
          <w:b/>
          <w:color w:val="000000" w:themeColor="text1"/>
          <w:sz w:val="36"/>
          <w:szCs w:val="36"/>
          <w:highlight w:val="none"/>
          <w14:textFill>
            <w14:solidFill>
              <w14:schemeClr w14:val="tx1"/>
            </w14:solidFill>
          </w14:textFill>
        </w:rPr>
        <w:t>项目编号：</w:t>
      </w:r>
      <w:bookmarkEnd w:id="292"/>
      <w:r>
        <w:rPr>
          <w:rFonts w:hint="eastAsia" w:ascii="仿宋" w:hAnsi="仿宋" w:eastAsia="仿宋" w:cs="仿宋"/>
          <w:b/>
          <w:color w:val="000000" w:themeColor="text1"/>
          <w:sz w:val="36"/>
          <w:szCs w:val="36"/>
          <w:highlight w:val="none"/>
          <w:u w:val="single"/>
          <w14:textFill>
            <w14:solidFill>
              <w14:schemeClr w14:val="tx1"/>
            </w14:solidFill>
          </w14:textFill>
        </w:rPr>
        <w:t xml:space="preserve">                      </w:t>
      </w:r>
    </w:p>
    <w:p w14:paraId="591A132F">
      <w:pPr>
        <w:pStyle w:val="124"/>
        <w:widowControl w:val="0"/>
        <w:spacing w:line="360" w:lineRule="auto"/>
        <w:jc w:val="both"/>
        <w:outlineLvl w:val="2"/>
        <w:rPr>
          <w:rFonts w:hint="eastAsia" w:ascii="仿宋" w:hAnsi="仿宋" w:eastAsia="仿宋" w:cs="仿宋"/>
          <w:color w:val="000000" w:themeColor="text1"/>
          <w:sz w:val="36"/>
          <w:szCs w:val="36"/>
          <w:highlight w:val="none"/>
          <w:lang w:eastAsia="zh-CN"/>
          <w14:textFill>
            <w14:solidFill>
              <w14:schemeClr w14:val="tx1"/>
            </w14:solidFill>
          </w14:textFill>
        </w:rPr>
      </w:pPr>
    </w:p>
    <w:p w14:paraId="653F333D">
      <w:pPr>
        <w:pStyle w:val="124"/>
        <w:widowControl w:val="0"/>
        <w:spacing w:line="360" w:lineRule="auto"/>
        <w:jc w:val="both"/>
        <w:outlineLvl w:val="2"/>
        <w:rPr>
          <w:rFonts w:hint="eastAsia" w:ascii="仿宋" w:hAnsi="仿宋" w:eastAsia="仿宋" w:cs="仿宋"/>
          <w:color w:val="000000" w:themeColor="text1"/>
          <w:sz w:val="36"/>
          <w:szCs w:val="36"/>
          <w:highlight w:val="none"/>
          <w:lang w:eastAsia="zh-CN"/>
          <w14:textFill>
            <w14:solidFill>
              <w14:schemeClr w14:val="tx1"/>
            </w14:solidFill>
          </w14:textFill>
        </w:rPr>
      </w:pPr>
    </w:p>
    <w:p w14:paraId="5A29EE14">
      <w:pPr>
        <w:pStyle w:val="124"/>
        <w:widowControl w:val="0"/>
        <w:spacing w:line="360" w:lineRule="auto"/>
        <w:jc w:val="both"/>
        <w:outlineLvl w:val="2"/>
        <w:rPr>
          <w:rFonts w:hint="eastAsia" w:ascii="仿宋" w:hAnsi="仿宋" w:eastAsia="仿宋" w:cs="仿宋"/>
          <w:color w:val="000000" w:themeColor="text1"/>
          <w:sz w:val="36"/>
          <w:szCs w:val="36"/>
          <w:highlight w:val="none"/>
          <w:lang w:eastAsia="zh-CN"/>
          <w14:textFill>
            <w14:solidFill>
              <w14:schemeClr w14:val="tx1"/>
            </w14:solidFill>
          </w14:textFill>
        </w:rPr>
      </w:pPr>
    </w:p>
    <w:p w14:paraId="5C394287">
      <w:pPr>
        <w:pStyle w:val="124"/>
        <w:widowControl w:val="0"/>
        <w:spacing w:line="360" w:lineRule="auto"/>
        <w:jc w:val="both"/>
        <w:outlineLvl w:val="2"/>
        <w:rPr>
          <w:rFonts w:hint="eastAsia" w:ascii="仿宋" w:hAnsi="仿宋" w:eastAsia="仿宋" w:cs="仿宋"/>
          <w:color w:val="000000" w:themeColor="text1"/>
          <w:sz w:val="36"/>
          <w:szCs w:val="36"/>
          <w:highlight w:val="none"/>
          <w14:textFill>
            <w14:solidFill>
              <w14:schemeClr w14:val="tx1"/>
            </w14:solidFill>
          </w14:textFill>
        </w:rPr>
      </w:pPr>
    </w:p>
    <w:p w14:paraId="71718E92">
      <w:pPr>
        <w:pStyle w:val="124"/>
        <w:widowControl w:val="0"/>
        <w:spacing w:line="360" w:lineRule="auto"/>
        <w:jc w:val="both"/>
        <w:outlineLvl w:val="2"/>
        <w:rPr>
          <w:rFonts w:hint="eastAsia" w:ascii="仿宋" w:hAnsi="仿宋" w:eastAsia="仿宋" w:cs="仿宋"/>
          <w:color w:val="000000" w:themeColor="text1"/>
          <w:sz w:val="36"/>
          <w:szCs w:val="36"/>
          <w:highlight w:val="none"/>
          <w14:textFill>
            <w14:solidFill>
              <w14:schemeClr w14:val="tx1"/>
            </w14:solidFill>
          </w14:textFill>
        </w:rPr>
      </w:pPr>
      <w:bookmarkStart w:id="293" w:name="_Toc27482"/>
      <w:r>
        <w:rPr>
          <w:rFonts w:hint="eastAsia" w:ascii="仿宋" w:hAnsi="仿宋" w:eastAsia="仿宋" w:cs="仿宋"/>
          <w:b/>
          <w:color w:val="000000" w:themeColor="text1"/>
          <w:sz w:val="36"/>
          <w:szCs w:val="36"/>
          <w:highlight w:val="none"/>
          <w:lang w:eastAsia="zh-CN"/>
          <w14:textFill>
            <w14:solidFill>
              <w14:schemeClr w14:val="tx1"/>
            </w14:solidFill>
          </w14:textFill>
        </w:rPr>
        <w:t>投标人</w:t>
      </w:r>
      <w:r>
        <w:rPr>
          <w:rFonts w:hint="eastAsia" w:ascii="仿宋" w:hAnsi="仿宋" w:eastAsia="仿宋" w:cs="仿宋"/>
          <w:b/>
          <w:color w:val="000000" w:themeColor="text1"/>
          <w:sz w:val="36"/>
          <w:szCs w:val="36"/>
          <w:highlight w:val="none"/>
          <w14:textFill>
            <w14:solidFill>
              <w14:schemeClr w14:val="tx1"/>
            </w14:solidFill>
          </w14:textFill>
        </w:rPr>
        <w:t>名称</w:t>
      </w:r>
      <w:r>
        <w:rPr>
          <w:rFonts w:hint="eastAsia" w:ascii="仿宋" w:hAnsi="仿宋" w:eastAsia="仿宋" w:cs="仿宋"/>
          <w:b/>
          <w:color w:val="000000" w:themeColor="text1"/>
          <w:sz w:val="36"/>
          <w:szCs w:val="36"/>
          <w:highlight w:val="none"/>
          <w:lang w:eastAsia="zh-CN"/>
          <w14:textFill>
            <w14:solidFill>
              <w14:schemeClr w14:val="tx1"/>
            </w14:solidFill>
          </w14:textFill>
        </w:rPr>
        <w:t>（公章）</w:t>
      </w:r>
      <w:r>
        <w:rPr>
          <w:rFonts w:hint="eastAsia" w:ascii="仿宋" w:hAnsi="仿宋" w:eastAsia="仿宋" w:cs="仿宋"/>
          <w:b/>
          <w:color w:val="000000" w:themeColor="text1"/>
          <w:sz w:val="36"/>
          <w:szCs w:val="36"/>
          <w:highlight w:val="none"/>
          <w14:textFill>
            <w14:solidFill>
              <w14:schemeClr w14:val="tx1"/>
            </w14:solidFill>
          </w14:textFill>
        </w:rPr>
        <w:t>：</w:t>
      </w:r>
      <w:bookmarkEnd w:id="293"/>
      <w:r>
        <w:rPr>
          <w:rFonts w:hint="eastAsia" w:ascii="仿宋" w:hAnsi="仿宋" w:eastAsia="仿宋" w:cs="仿宋"/>
          <w:b/>
          <w:color w:val="000000" w:themeColor="text1"/>
          <w:sz w:val="36"/>
          <w:szCs w:val="36"/>
          <w:highlight w:val="none"/>
          <w:u w:val="single"/>
          <w14:textFill>
            <w14:solidFill>
              <w14:schemeClr w14:val="tx1"/>
            </w14:solidFill>
          </w14:textFill>
        </w:rPr>
        <w:t xml:space="preserve">                      </w:t>
      </w:r>
    </w:p>
    <w:p w14:paraId="4A99D127">
      <w:pPr>
        <w:pStyle w:val="124"/>
        <w:widowControl w:val="0"/>
        <w:spacing w:line="360" w:lineRule="auto"/>
        <w:jc w:val="both"/>
        <w:outlineLvl w:val="2"/>
        <w:rPr>
          <w:rFonts w:hint="eastAsia" w:ascii="仿宋" w:hAnsi="仿宋" w:eastAsia="仿宋" w:cs="仿宋"/>
          <w:color w:val="000000" w:themeColor="text1"/>
          <w:sz w:val="36"/>
          <w:szCs w:val="36"/>
          <w:highlight w:val="none"/>
          <w14:textFill>
            <w14:solidFill>
              <w14:schemeClr w14:val="tx1"/>
            </w14:solidFill>
          </w14:textFill>
        </w:rPr>
      </w:pPr>
      <w:bookmarkStart w:id="294" w:name="_Toc2462"/>
      <w:r>
        <w:rPr>
          <w:rFonts w:hint="eastAsia" w:ascii="仿宋" w:hAnsi="仿宋" w:eastAsia="仿宋" w:cs="仿宋"/>
          <w:b/>
          <w:color w:val="000000" w:themeColor="text1"/>
          <w:sz w:val="36"/>
          <w:szCs w:val="36"/>
          <w:highlight w:val="none"/>
          <w14:textFill>
            <w14:solidFill>
              <w14:schemeClr w14:val="tx1"/>
            </w14:solidFill>
          </w14:textFill>
        </w:rPr>
        <w:t>日      期：</w:t>
      </w:r>
      <w:bookmarkEnd w:id="294"/>
      <w:r>
        <w:rPr>
          <w:rFonts w:hint="eastAsia" w:ascii="仿宋" w:hAnsi="仿宋" w:eastAsia="仿宋" w:cs="仿宋"/>
          <w:b/>
          <w:color w:val="000000" w:themeColor="text1"/>
          <w:sz w:val="36"/>
          <w:szCs w:val="36"/>
          <w:highlight w:val="none"/>
          <w:u w:val="single"/>
          <w14:textFill>
            <w14:solidFill>
              <w14:schemeClr w14:val="tx1"/>
            </w14:solidFill>
          </w14:textFill>
        </w:rPr>
        <w:t xml:space="preserve">                      </w:t>
      </w:r>
    </w:p>
    <w:p w14:paraId="7429FD2D">
      <w:pPr>
        <w:pStyle w:val="124"/>
        <w:widowControl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14:paraId="538A0139">
      <w:pPr>
        <w:spacing w:line="360" w:lineRule="auto"/>
        <w:rPr>
          <w:rFonts w:hint="eastAsia" w:ascii="仿宋" w:hAnsi="仿宋" w:eastAsia="仿宋" w:cs="仿宋"/>
          <w:b/>
          <w:color w:val="000000" w:themeColor="text1"/>
          <w:kern w:val="0"/>
          <w:sz w:val="36"/>
          <w:szCs w:val="36"/>
          <w:highlight w:val="none"/>
          <w:lang w:val="en-US" w:eastAsia="zh-CN" w:bidi="ar-SA"/>
          <w14:textFill>
            <w14:solidFill>
              <w14:schemeClr w14:val="tx1"/>
            </w14:solidFill>
          </w14:textFill>
        </w:rPr>
      </w:pPr>
      <w:r>
        <w:rPr>
          <w:rFonts w:hint="eastAsia" w:ascii="仿宋" w:hAnsi="仿宋" w:eastAsia="仿宋" w:cs="仿宋"/>
          <w:b/>
          <w:color w:val="000000" w:themeColor="text1"/>
          <w:kern w:val="0"/>
          <w:sz w:val="36"/>
          <w:szCs w:val="36"/>
          <w:highlight w:val="none"/>
          <w:lang w:val="en-US" w:eastAsia="zh-CN" w:bidi="ar-SA"/>
          <w14:textFill>
            <w14:solidFill>
              <w14:schemeClr w14:val="tx1"/>
            </w14:solidFill>
          </w14:textFill>
        </w:rPr>
        <w:t>在“</w:t>
      </w:r>
      <w:r>
        <w:rPr>
          <w:rFonts w:hint="eastAsia" w:ascii="仿宋" w:hAnsi="仿宋" w:cs="仿宋"/>
          <w:b/>
          <w:color w:val="000000" w:themeColor="text1"/>
          <w:kern w:val="0"/>
          <w:sz w:val="36"/>
          <w:szCs w:val="36"/>
          <w:highlight w:val="none"/>
          <w:u w:val="single"/>
          <w:lang w:val="en-US" w:eastAsia="zh-CN" w:bidi="ar-SA"/>
          <w14:textFill>
            <w14:solidFill>
              <w14:schemeClr w14:val="tx1"/>
            </w14:solidFill>
          </w14:textFill>
        </w:rPr>
        <w:t xml:space="preserve">   </w:t>
      </w:r>
      <w:r>
        <w:rPr>
          <w:rFonts w:hint="eastAsia" w:ascii="仿宋" w:hAnsi="仿宋" w:cs="仿宋"/>
          <w:b w:val="0"/>
          <w:bCs/>
          <w:color w:val="000000" w:themeColor="text1"/>
          <w:kern w:val="0"/>
          <w:sz w:val="36"/>
          <w:szCs w:val="36"/>
          <w:highlight w:val="none"/>
          <w:u w:val="single"/>
          <w:lang w:val="en-US" w:eastAsia="zh-CN" w:bidi="ar-SA"/>
          <w14:textFill>
            <w14:solidFill>
              <w14:schemeClr w14:val="tx1"/>
            </w14:solidFill>
          </w14:textFill>
        </w:rPr>
        <w:t xml:space="preserve">（填写具体开标时间） </w:t>
      </w:r>
      <w:r>
        <w:rPr>
          <w:rFonts w:hint="eastAsia" w:ascii="仿宋" w:hAnsi="仿宋" w:cs="仿宋"/>
          <w:b/>
          <w:color w:val="000000" w:themeColor="text1"/>
          <w:kern w:val="0"/>
          <w:sz w:val="36"/>
          <w:szCs w:val="36"/>
          <w:highlight w:val="none"/>
          <w:u w:val="single"/>
          <w:lang w:val="en-US" w:eastAsia="zh-CN" w:bidi="ar-SA"/>
          <w14:textFill>
            <w14:solidFill>
              <w14:schemeClr w14:val="tx1"/>
            </w14:solidFill>
          </w14:textFill>
        </w:rPr>
        <w:t xml:space="preserve">      </w:t>
      </w:r>
      <w:r>
        <w:rPr>
          <w:rFonts w:hint="eastAsia" w:ascii="仿宋" w:hAnsi="仿宋" w:eastAsia="仿宋" w:cs="仿宋"/>
          <w:b/>
          <w:color w:val="000000" w:themeColor="text1"/>
          <w:kern w:val="0"/>
          <w:sz w:val="36"/>
          <w:szCs w:val="36"/>
          <w:highlight w:val="none"/>
          <w:lang w:val="en-US" w:eastAsia="zh-CN" w:bidi="ar-SA"/>
          <w14:textFill>
            <w14:solidFill>
              <w14:schemeClr w14:val="tx1"/>
            </w14:solidFill>
          </w14:textFill>
        </w:rPr>
        <w:t>”之前不得启封</w:t>
      </w:r>
    </w:p>
    <w:p w14:paraId="1C53A53E">
      <w:pP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14:paraId="6938EB91">
      <w:pPr>
        <w:pStyle w:val="124"/>
        <w:widowControl w:val="0"/>
        <w:spacing w:line="360" w:lineRule="auto"/>
        <w:jc w:val="center"/>
        <w:outlineLvl w:val="2"/>
        <w:rPr>
          <w:rFonts w:hint="eastAsia" w:ascii="仿宋" w:hAnsi="仿宋" w:eastAsia="仿宋" w:cs="仿宋"/>
          <w:b/>
          <w:bCs/>
          <w:i w:val="0"/>
          <w:iCs w:val="0"/>
          <w:color w:val="000000" w:themeColor="text1"/>
          <w:kern w:val="44"/>
          <w:sz w:val="32"/>
          <w:szCs w:val="32"/>
          <w:highlight w:val="none"/>
          <w:lang w:val="en-US" w:eastAsia="zh-CN"/>
          <w14:textFill>
            <w14:solidFill>
              <w14:schemeClr w14:val="tx1"/>
            </w14:solidFill>
          </w14:textFill>
        </w:rPr>
      </w:pPr>
      <w:bookmarkStart w:id="295" w:name="_Toc2764"/>
      <w:r>
        <w:rPr>
          <w:rFonts w:hint="eastAsia" w:ascii="仿宋" w:hAnsi="仿宋" w:eastAsia="仿宋" w:cs="仿宋"/>
          <w:b/>
          <w:bCs/>
          <w:color w:val="000000" w:themeColor="text1"/>
          <w:kern w:val="44"/>
          <w:sz w:val="32"/>
          <w:szCs w:val="32"/>
          <w:highlight w:val="none"/>
          <w14:textFill>
            <w14:solidFill>
              <w14:schemeClr w14:val="tx1"/>
            </w14:solidFill>
          </w14:textFill>
        </w:rPr>
        <w:t>目  录</w:t>
      </w:r>
      <w:bookmarkEnd w:id="295"/>
    </w:p>
    <w:p w14:paraId="5529CF63">
      <w:pPr>
        <w:spacing w:line="360" w:lineRule="auto"/>
        <w:rPr>
          <w:rFonts w:hint="eastAsia" w:ascii="仿宋" w:hAnsi="仿宋" w:cs="仿宋"/>
          <w:i/>
          <w:iCs/>
          <w:color w:val="000000" w:themeColor="text1"/>
          <w:highlight w:val="none"/>
          <w:lang w:val="en-US" w:eastAsia="zh-CN"/>
          <w14:textFill>
            <w14:solidFill>
              <w14:schemeClr w14:val="tx1"/>
            </w14:solidFill>
          </w14:textFill>
        </w:rPr>
      </w:pPr>
    </w:p>
    <w:p w14:paraId="5A695E80">
      <w:pPr>
        <w:keepNext w:val="0"/>
        <w:keepLines w:val="0"/>
        <w:pageBreakBefore w:val="0"/>
        <w:widowControl w:val="0"/>
        <w:numPr>
          <w:ilvl w:val="0"/>
          <w:numId w:val="53"/>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投标函</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2.开标一览表（格式）</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3.技术需求偏离表</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4.商务条款偏离表</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5-1.企业法人营业执照、事业单位法人证书或登记证</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5-2 .法定代表人（或单位负责人）授权书附件</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5-3.资格证明文件</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6-1.投标声明</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6-2.投标人的资格声明</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6-3. 制造商资格声明                                                        </w:t>
      </w:r>
    </w:p>
    <w:p w14:paraId="52CEA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.投标人业绩案例</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7.保密承诺书</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8.优于采购需求的承诺</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9.采购信息公开渠道社会披露承诺书</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10.中小企业规模类型告知函</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11.信用中国网站截图</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12.合规承诺函</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13.投标人控股及关联关系情况表                                                     </w:t>
      </w:r>
    </w:p>
    <w:p w14:paraId="2F786153">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制造商针对本项目授权书及原厂质保承诺</w:t>
      </w:r>
    </w:p>
    <w:p w14:paraId="5C3249C1">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color w:val="000000" w:themeColor="text1"/>
          <w:highlight w:val="none"/>
          <w14:textFill>
            <w14:solidFill>
              <w14:schemeClr w14:val="tx1"/>
            </w14:solidFill>
          </w14:textFill>
        </w:rPr>
      </w:pPr>
      <w:r>
        <w:rPr>
          <w:rStyle w:val="35"/>
          <w:rFonts w:hint="default" w:ascii="Times New Roman" w:hAnsi="Times New Roman" w:eastAsia="仿宋" w:cs="Times New Roman"/>
          <w:color w:val="000000" w:themeColor="text1"/>
          <w:sz w:val="24"/>
          <w:szCs w:val="21"/>
          <w:highlight w:val="none"/>
          <w14:textFill>
            <w14:solidFill>
              <w14:schemeClr w14:val="tx1"/>
            </w14:solidFill>
          </w14:textFill>
        </w:rPr>
        <w:t>配备的项目团队人员</w:t>
      </w:r>
      <w:r>
        <w:rPr>
          <w:rStyle w:val="35"/>
          <w:rFonts w:hint="default" w:ascii="Times New Roman" w:hAnsi="Times New Roman" w:cs="Times New Roman"/>
          <w:color w:val="000000" w:themeColor="text1"/>
          <w:sz w:val="24"/>
          <w:szCs w:val="21"/>
          <w:highlight w:val="none"/>
          <w:lang w:eastAsia="zh-CN"/>
          <w14:textFill>
            <w14:solidFill>
              <w14:schemeClr w14:val="tx1"/>
            </w14:solidFill>
          </w14:textFill>
        </w:rPr>
        <w:t>（如适用）</w:t>
      </w:r>
    </w:p>
    <w:p w14:paraId="1E8A848A">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廉洁承诺书                                                                             </w:t>
      </w:r>
    </w:p>
    <w:p w14:paraId="5918158F">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投标人退保证金/中标后开取中标服务费发票信息</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t>.其它资格证明文件要求</w:t>
      </w:r>
    </w:p>
    <w:p w14:paraId="51316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i w:val="0"/>
          <w:iCs w:val="0"/>
          <w:color w:val="000000" w:themeColor="text1"/>
          <w:sz w:val="24"/>
          <w:szCs w:val="24"/>
          <w:highlight w:val="none"/>
          <w14:textFill>
            <w14:solidFill>
              <w14:schemeClr w14:val="tx1"/>
            </w14:solidFill>
          </w14:textFill>
        </w:rPr>
      </w:pPr>
    </w:p>
    <w:p w14:paraId="5D151BD4">
      <w:pP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14:paraId="1ABD28D1">
      <w:pPr>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kern w:val="44"/>
          <w:sz w:val="30"/>
          <w:szCs w:val="30"/>
          <w:highlight w:val="none"/>
          <w:lang w:val="en-US" w:eastAsia="zh-CN"/>
          <w14:textFill>
            <w14:solidFill>
              <w14:schemeClr w14:val="tx1"/>
            </w14:solidFill>
          </w14:textFill>
        </w:rPr>
        <w:t>评标索引表</w:t>
      </w:r>
    </w:p>
    <w:tbl>
      <w:tblPr>
        <w:tblStyle w:val="3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7"/>
        <w:gridCol w:w="852"/>
        <w:gridCol w:w="480"/>
        <w:gridCol w:w="1505"/>
        <w:gridCol w:w="1"/>
        <w:gridCol w:w="629"/>
        <w:gridCol w:w="2"/>
        <w:gridCol w:w="4276"/>
        <w:gridCol w:w="917"/>
        <w:gridCol w:w="2"/>
      </w:tblGrid>
      <w:tr w14:paraId="557C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407" w:type="dxa"/>
            <w:tcBorders>
              <w:top w:val="single" w:color="000000" w:sz="4" w:space="0"/>
              <w:left w:val="single" w:color="000000" w:sz="4" w:space="0"/>
              <w:bottom w:val="single" w:color="000000" w:sz="4" w:space="0"/>
              <w:right w:val="single" w:color="000000" w:sz="4" w:space="0"/>
            </w:tcBorders>
            <w:vAlign w:val="center"/>
          </w:tcPr>
          <w:p w14:paraId="1A63D95C">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bookmarkStart w:id="296" w:name="_Toc21479"/>
            <w:bookmarkStart w:id="297" w:name="_Toc10998"/>
            <w:bookmarkStart w:id="298" w:name="_Toc10187"/>
            <w:bookmarkStart w:id="299" w:name="_Toc21647"/>
            <w:bookmarkStart w:id="300" w:name="_Toc13714"/>
            <w:bookmarkStart w:id="301" w:name="_Toc149230418"/>
            <w:bookmarkStart w:id="302" w:name="_Toc14257"/>
            <w:bookmarkStart w:id="303" w:name="_Toc1962871918"/>
            <w:bookmarkStart w:id="304" w:name="_Toc10969"/>
            <w:bookmarkStart w:id="305" w:name="_Toc7131"/>
            <w:bookmarkStart w:id="306" w:name="_Toc108796164"/>
            <w:bookmarkStart w:id="307" w:name="_Toc14136"/>
            <w:bookmarkStart w:id="308" w:name="_Toc16458"/>
            <w:bookmarkStart w:id="309" w:name="_Toc24756"/>
            <w:bookmarkStart w:id="310" w:name="_Toc150933637"/>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14:paraId="758ED545">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评分项</w:t>
            </w:r>
          </w:p>
        </w:tc>
        <w:tc>
          <w:tcPr>
            <w:tcW w:w="1986" w:type="dxa"/>
            <w:gridSpan w:val="3"/>
            <w:tcBorders>
              <w:top w:val="single" w:color="000000" w:sz="4" w:space="0"/>
              <w:left w:val="single" w:color="000000" w:sz="4" w:space="0"/>
              <w:bottom w:val="single" w:color="000000" w:sz="4" w:space="0"/>
              <w:right w:val="single" w:color="000000" w:sz="4" w:space="0"/>
            </w:tcBorders>
            <w:vAlign w:val="center"/>
          </w:tcPr>
          <w:p w14:paraId="499EA011">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具体内容</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14:paraId="1370C56D">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分值</w:t>
            </w:r>
          </w:p>
        </w:tc>
        <w:tc>
          <w:tcPr>
            <w:tcW w:w="4276" w:type="dxa"/>
            <w:tcBorders>
              <w:top w:val="single" w:color="000000" w:sz="4" w:space="0"/>
              <w:left w:val="single" w:color="000000" w:sz="4" w:space="0"/>
              <w:bottom w:val="single" w:color="000000" w:sz="4" w:space="0"/>
              <w:right w:val="single" w:color="000000" w:sz="4" w:space="0"/>
            </w:tcBorders>
            <w:vAlign w:val="center"/>
          </w:tcPr>
          <w:p w14:paraId="6A2D35CF">
            <w:pPr>
              <w:keepNext w:val="0"/>
              <w:keepLines w:val="0"/>
              <w:widowControl/>
              <w:suppressLineNumbers w:val="0"/>
              <w:jc w:val="center"/>
              <w:textAlignment w:val="center"/>
              <w:rPr>
                <w:rFonts w:hint="eastAsia" w:ascii="仿宋" w:hAnsi="仿宋" w:eastAsia="仿宋" w:cs="仿宋"/>
                <w:b/>
                <w:i w:val="0"/>
                <w:color w:val="000000" w:themeColor="text1"/>
                <w:sz w:val="21"/>
                <w:szCs w:val="21"/>
                <w:highlight w:val="none"/>
                <w:u w:val="none"/>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评分标准</w:t>
            </w: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14:paraId="1DE0C7F8">
            <w:pPr>
              <w:keepNext w:val="0"/>
              <w:keepLines w:val="0"/>
              <w:widowControl/>
              <w:suppressLineNumbers w:val="0"/>
              <w:jc w:val="center"/>
              <w:textAlignment w:val="cente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1"/>
                <w:szCs w:val="21"/>
                <w:highlight w:val="none"/>
                <w:u w:val="none"/>
                <w:lang w:val="en-US" w:eastAsia="zh-CN" w:bidi="ar"/>
                <w14:textFill>
                  <w14:solidFill>
                    <w14:schemeClr w14:val="tx1"/>
                  </w14:solidFill>
                </w14:textFill>
              </w:rPr>
              <w:t>所在页码</w:t>
            </w:r>
          </w:p>
        </w:tc>
      </w:tr>
      <w:tr w14:paraId="7635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407" w:type="dxa"/>
            <w:tcBorders>
              <w:top w:val="single" w:color="000000" w:sz="4" w:space="0"/>
              <w:left w:val="single" w:color="000000" w:sz="4" w:space="0"/>
              <w:bottom w:val="single" w:color="000000" w:sz="4" w:space="0"/>
              <w:right w:val="single" w:color="000000" w:sz="4" w:space="0"/>
            </w:tcBorders>
            <w:vAlign w:val="center"/>
          </w:tcPr>
          <w:p w14:paraId="1F95505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852" w:type="dxa"/>
            <w:tcBorders>
              <w:top w:val="single" w:color="000000" w:sz="4" w:space="0"/>
              <w:left w:val="single" w:color="000000" w:sz="4" w:space="0"/>
              <w:bottom w:val="single" w:color="000000" w:sz="4" w:space="0"/>
              <w:right w:val="single" w:color="000000" w:sz="4" w:space="0"/>
            </w:tcBorders>
            <w:vAlign w:val="center"/>
          </w:tcPr>
          <w:p w14:paraId="3DBC5DA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价格</w:t>
            </w:r>
          </w:p>
        </w:tc>
        <w:tc>
          <w:tcPr>
            <w:tcW w:w="1986" w:type="dxa"/>
            <w:gridSpan w:val="3"/>
            <w:tcBorders>
              <w:top w:val="single" w:color="000000" w:sz="4" w:space="0"/>
              <w:left w:val="single" w:color="000000" w:sz="4" w:space="0"/>
              <w:bottom w:val="single" w:color="000000" w:sz="4" w:space="0"/>
              <w:right w:val="single" w:color="000000" w:sz="4" w:space="0"/>
            </w:tcBorders>
            <w:vAlign w:val="center"/>
          </w:tcPr>
          <w:p w14:paraId="41E394DF">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1.供应商价格得分=(基准价/供应商报价）*100*价格权重。（以不含增值税价格计算）</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基准价为进入评审阶段供应商最低报价</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14:paraId="51C643D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50</w:t>
            </w:r>
          </w:p>
        </w:tc>
        <w:tc>
          <w:tcPr>
            <w:tcW w:w="4276" w:type="dxa"/>
            <w:tcBorders>
              <w:top w:val="single" w:color="000000" w:sz="4" w:space="0"/>
              <w:left w:val="single" w:color="000000" w:sz="4" w:space="0"/>
              <w:bottom w:val="single" w:color="000000" w:sz="4" w:space="0"/>
              <w:right w:val="single" w:color="000000" w:sz="4" w:space="0"/>
            </w:tcBorders>
            <w:vAlign w:val="center"/>
          </w:tcPr>
          <w:p w14:paraId="461D5037">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低价优先法：供应商报价最低的价格为基准价，其价格为满分。</w:t>
            </w: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14:paraId="735EFB41">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2575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150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vAlign w:val="center"/>
          </w:tcPr>
          <w:p w14:paraId="3A0138C0">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14:paraId="0A1FD75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商务部分</w:t>
            </w:r>
          </w:p>
        </w:tc>
        <w:tc>
          <w:tcPr>
            <w:tcW w:w="480" w:type="dxa"/>
            <w:tcBorders>
              <w:top w:val="single" w:color="000000" w:sz="4" w:space="0"/>
              <w:left w:val="single" w:color="000000" w:sz="4" w:space="0"/>
              <w:bottom w:val="single" w:color="000000" w:sz="4" w:space="0"/>
              <w:right w:val="single" w:color="000000" w:sz="4" w:space="0"/>
            </w:tcBorders>
            <w:vAlign w:val="center"/>
          </w:tcPr>
          <w:p w14:paraId="2E77EC1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综合实力</w:t>
            </w:r>
          </w:p>
        </w:tc>
        <w:tc>
          <w:tcPr>
            <w:tcW w:w="1505" w:type="dxa"/>
            <w:tcBorders>
              <w:top w:val="single" w:color="000000" w:sz="4" w:space="0"/>
              <w:left w:val="single" w:color="000000" w:sz="4" w:space="0"/>
              <w:bottom w:val="single" w:color="000000" w:sz="4" w:space="0"/>
              <w:right w:val="single" w:color="000000" w:sz="4" w:space="0"/>
            </w:tcBorders>
            <w:vAlign w:val="center"/>
          </w:tcPr>
          <w:p w14:paraId="46DBF14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2.1 供应商企业实力、规模、组织机构及场地设施环境、资信状况，和公司财务报表情况等。</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663CAFE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47167998">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按照各家供应商的实际情况分为优、良、一般三个级别评分，优得5-3.5（不含）分、良得3.5-1.5（不含）分、一般得1.5-0分。</w:t>
            </w:r>
          </w:p>
        </w:tc>
        <w:tc>
          <w:tcPr>
            <w:tcW w:w="917" w:type="dxa"/>
            <w:tcBorders>
              <w:top w:val="single" w:color="000000" w:sz="4" w:space="0"/>
              <w:left w:val="single" w:color="000000" w:sz="4" w:space="0"/>
              <w:bottom w:val="single" w:color="000000" w:sz="4" w:space="0"/>
              <w:right w:val="single" w:color="000000" w:sz="4" w:space="0"/>
            </w:tcBorders>
            <w:vAlign w:val="center"/>
          </w:tcPr>
          <w:p w14:paraId="36BD682B">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0E5D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303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06128690">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5F11D65B">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vAlign w:val="center"/>
          </w:tcPr>
          <w:p w14:paraId="332CAC6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成功案例</w:t>
            </w:r>
          </w:p>
        </w:tc>
        <w:tc>
          <w:tcPr>
            <w:tcW w:w="1505" w:type="dxa"/>
            <w:tcBorders>
              <w:top w:val="single" w:color="000000" w:sz="4" w:space="0"/>
              <w:left w:val="single" w:color="000000" w:sz="4" w:space="0"/>
              <w:bottom w:val="single" w:color="000000" w:sz="4" w:space="0"/>
              <w:right w:val="single" w:color="000000" w:sz="4" w:space="0"/>
            </w:tcBorders>
            <w:vAlign w:val="center"/>
          </w:tcPr>
          <w:p w14:paraId="7FD0A49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2.2 供应商类似项目的成功案例情况。</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3DFD219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201EA36A">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根据供应商2022年1月1日至今的合同金额在50万元及以上的类似成功案例情况，每提供一项得1分，满分为5分。备注：</w:t>
            </w:r>
            <w:r>
              <w:rPr>
                <w:rFonts w:hint="eastAsia" w:ascii="仿宋" w:hAnsi="仿宋" w:eastAsia="仿宋" w:cs="仿宋"/>
                <w:color w:val="000000" w:themeColor="text1"/>
                <w:sz w:val="21"/>
                <w:szCs w:val="21"/>
                <w:highlight w:val="none"/>
                <w14:textFill>
                  <w14:solidFill>
                    <w14:schemeClr w14:val="tx1"/>
                  </w14:solidFill>
                </w14:textFill>
              </w:rPr>
              <w:t>业绩</w:t>
            </w:r>
            <w:r>
              <w:rPr>
                <w:rFonts w:hint="eastAsia" w:ascii="仿宋" w:hAnsi="仿宋" w:eastAsia="仿宋" w:cs="仿宋"/>
                <w:color w:val="000000" w:themeColor="text1"/>
                <w:sz w:val="21"/>
                <w:szCs w:val="21"/>
                <w:highlight w:val="none"/>
                <w:lang w:eastAsia="zh-Hans"/>
                <w14:textFill>
                  <w14:solidFill>
                    <w14:schemeClr w14:val="tx1"/>
                  </w14:solidFill>
                </w14:textFill>
              </w:rPr>
              <w:t>证明材料中</w:t>
            </w:r>
            <w:r>
              <w:rPr>
                <w:rFonts w:hint="eastAsia" w:ascii="仿宋" w:hAnsi="仿宋" w:eastAsia="仿宋" w:cs="仿宋"/>
                <w:color w:val="000000" w:themeColor="text1"/>
                <w:sz w:val="21"/>
                <w:szCs w:val="21"/>
                <w:highlight w:val="none"/>
                <w14:textFill>
                  <w14:solidFill>
                    <w14:schemeClr w14:val="tx1"/>
                  </w14:solidFill>
                </w14:textFill>
              </w:rPr>
              <w:t>一般应包含合同</w:t>
            </w:r>
            <w:r>
              <w:rPr>
                <w:rFonts w:hint="eastAsia" w:ascii="仿宋" w:hAnsi="仿宋" w:eastAsia="仿宋" w:cs="仿宋"/>
                <w:color w:val="000000" w:themeColor="text1"/>
                <w:sz w:val="21"/>
                <w:szCs w:val="21"/>
                <w:highlight w:val="none"/>
                <w:lang w:eastAsia="zh-Hans"/>
                <w14:textFill>
                  <w14:solidFill>
                    <w14:schemeClr w14:val="tx1"/>
                  </w14:solidFill>
                </w14:textFill>
              </w:rPr>
              <w:t>或协议标的物</w:t>
            </w:r>
            <w:r>
              <w:rPr>
                <w:rFonts w:hint="eastAsia" w:ascii="仿宋" w:hAnsi="仿宋" w:eastAsia="仿宋" w:cs="仿宋"/>
                <w:color w:val="000000" w:themeColor="text1"/>
                <w:sz w:val="21"/>
                <w:szCs w:val="21"/>
                <w:highlight w:val="none"/>
                <w14:textFill>
                  <w14:solidFill>
                    <w14:schemeClr w14:val="tx1"/>
                  </w14:solidFill>
                </w14:textFill>
              </w:rPr>
              <w:t>、货物/服务名称、品牌/型号、数量、签订时间、合同</w:t>
            </w:r>
            <w:r>
              <w:rPr>
                <w:rFonts w:hint="eastAsia" w:ascii="仿宋" w:hAnsi="仿宋" w:eastAsia="仿宋" w:cs="仿宋"/>
                <w:color w:val="000000" w:themeColor="text1"/>
                <w:sz w:val="21"/>
                <w:szCs w:val="21"/>
                <w:highlight w:val="none"/>
                <w:lang w:eastAsia="zh-Hans"/>
                <w14:textFill>
                  <w14:solidFill>
                    <w14:schemeClr w14:val="tx1"/>
                  </w14:solidFill>
                </w14:textFill>
              </w:rPr>
              <w:t>或协议</w:t>
            </w:r>
            <w:r>
              <w:rPr>
                <w:rFonts w:hint="eastAsia" w:ascii="仿宋" w:hAnsi="仿宋" w:eastAsia="仿宋" w:cs="仿宋"/>
                <w:color w:val="000000" w:themeColor="text1"/>
                <w:sz w:val="21"/>
                <w:szCs w:val="21"/>
                <w:highlight w:val="none"/>
                <w14:textFill>
                  <w14:solidFill>
                    <w14:schemeClr w14:val="tx1"/>
                  </w14:solidFill>
                </w14:textFill>
              </w:rPr>
              <w:t>正文第一页</w:t>
            </w:r>
            <w:r>
              <w:rPr>
                <w:rFonts w:hint="eastAsia" w:ascii="仿宋" w:hAnsi="仿宋" w:eastAsia="仿宋" w:cs="仿宋"/>
                <w:color w:val="000000" w:themeColor="text1"/>
                <w:sz w:val="21"/>
                <w:szCs w:val="21"/>
                <w:highlight w:val="none"/>
                <w:lang w:eastAsia="zh-CN"/>
                <w14:textFill>
                  <w14:solidFill>
                    <w14:schemeClr w14:val="tx1"/>
                  </w14:solidFill>
                </w14:textFill>
              </w:rPr>
              <w:t>、合同金额、产品信息、签字盖章页</w:t>
            </w:r>
            <w:r>
              <w:rPr>
                <w:rFonts w:hint="eastAsia" w:ascii="仿宋" w:hAnsi="仿宋" w:eastAsia="仿宋" w:cs="仿宋"/>
                <w:color w:val="000000" w:themeColor="text1"/>
                <w:sz w:val="21"/>
                <w:szCs w:val="21"/>
                <w:highlight w:val="none"/>
                <w14:textFill>
                  <w14:solidFill>
                    <w14:schemeClr w14:val="tx1"/>
                  </w14:solidFill>
                </w14:textFill>
              </w:rPr>
              <w:t>等关键信息，</w:t>
            </w:r>
            <w:r>
              <w:rPr>
                <w:rFonts w:hint="eastAsia" w:ascii="仿宋" w:hAnsi="仿宋" w:eastAsia="仿宋" w:cs="仿宋"/>
                <w:color w:val="000000" w:themeColor="text1"/>
                <w:sz w:val="21"/>
                <w:szCs w:val="21"/>
                <w:highlight w:val="none"/>
                <w:lang w:val="en-US" w:eastAsia="zh-CN"/>
                <w14:textFill>
                  <w14:solidFill>
                    <w14:schemeClr w14:val="tx1"/>
                  </w14:solidFill>
                </w14:textFill>
              </w:rPr>
              <w:t>且必须至少提供一份与合同相对应的发票复印件，</w:t>
            </w:r>
            <w:r>
              <w:rPr>
                <w:rFonts w:hint="eastAsia" w:ascii="仿宋" w:hAnsi="仿宋" w:eastAsia="仿宋" w:cs="仿宋"/>
                <w:color w:val="000000" w:themeColor="text1"/>
                <w:sz w:val="21"/>
                <w:szCs w:val="21"/>
                <w:highlight w:val="none"/>
                <w14:textFill>
                  <w14:solidFill>
                    <w14:schemeClr w14:val="tx1"/>
                  </w14:solidFill>
                </w14:textFill>
              </w:rPr>
              <w:t>如评分专家组认定提供材料不能完整提供上述信息</w:t>
            </w:r>
            <w:r>
              <w:rPr>
                <w:rFonts w:hint="eastAsia" w:ascii="仿宋" w:hAnsi="仿宋" w:eastAsia="仿宋" w:cs="仿宋"/>
                <w:color w:val="000000" w:themeColor="text1"/>
                <w:sz w:val="21"/>
                <w:szCs w:val="21"/>
                <w:highlight w:val="none"/>
                <w:lang w:eastAsia="zh-Hans"/>
                <w14:textFill>
                  <w14:solidFill>
                    <w14:schemeClr w14:val="tx1"/>
                  </w14:solidFill>
                </w14:textFill>
              </w:rPr>
              <w:t>，则可能被视为证明</w:t>
            </w:r>
            <w:r>
              <w:rPr>
                <w:rFonts w:hint="eastAsia" w:ascii="仿宋" w:hAnsi="仿宋" w:eastAsia="仿宋" w:cs="仿宋"/>
                <w:color w:val="000000" w:themeColor="text1"/>
                <w:sz w:val="21"/>
                <w:szCs w:val="21"/>
                <w:highlight w:val="none"/>
                <w14:textFill>
                  <w14:solidFill>
                    <w14:schemeClr w14:val="tx1"/>
                  </w14:solidFill>
                </w14:textFill>
              </w:rPr>
              <w:t>无效。合同</w:t>
            </w:r>
            <w:r>
              <w:rPr>
                <w:rFonts w:hint="eastAsia" w:ascii="仿宋" w:hAnsi="仿宋" w:eastAsia="仿宋" w:cs="仿宋"/>
                <w:color w:val="000000" w:themeColor="text1"/>
                <w:sz w:val="21"/>
                <w:szCs w:val="21"/>
                <w:highlight w:val="none"/>
                <w:lang w:eastAsia="zh-Hans"/>
                <w14:textFill>
                  <w14:solidFill>
                    <w14:schemeClr w14:val="tx1"/>
                  </w14:solidFill>
                </w14:textFill>
              </w:rPr>
              <w:t>或协议</w:t>
            </w:r>
            <w:r>
              <w:rPr>
                <w:rFonts w:hint="eastAsia" w:ascii="仿宋" w:hAnsi="仿宋" w:eastAsia="仿宋" w:cs="仿宋"/>
                <w:color w:val="000000" w:themeColor="text1"/>
                <w:sz w:val="21"/>
                <w:szCs w:val="21"/>
                <w:highlight w:val="none"/>
                <w14:textFill>
                  <w14:solidFill>
                    <w14:schemeClr w14:val="tx1"/>
                  </w14:solidFill>
                </w14:textFill>
              </w:rPr>
              <w:t>的买方必须为最终用户</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以上材料未提供者不得分。</w:t>
            </w:r>
          </w:p>
        </w:tc>
        <w:tc>
          <w:tcPr>
            <w:tcW w:w="917" w:type="dxa"/>
            <w:tcBorders>
              <w:top w:val="single" w:color="000000" w:sz="4" w:space="0"/>
              <w:left w:val="single" w:color="000000" w:sz="4" w:space="0"/>
              <w:bottom w:val="single" w:color="000000" w:sz="4" w:space="0"/>
              <w:right w:val="single" w:color="000000" w:sz="4" w:space="0"/>
            </w:tcBorders>
            <w:vAlign w:val="center"/>
          </w:tcPr>
          <w:p w14:paraId="6A29B428">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7875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342"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vAlign w:val="center"/>
          </w:tcPr>
          <w:p w14:paraId="6D098AD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14:paraId="16163E06">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技术部分</w:t>
            </w: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14:paraId="20519FA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产品技术</w:t>
            </w:r>
          </w:p>
        </w:tc>
        <w:tc>
          <w:tcPr>
            <w:tcW w:w="1505" w:type="dxa"/>
            <w:tcBorders>
              <w:top w:val="single" w:color="000000" w:sz="4" w:space="0"/>
              <w:left w:val="single" w:color="000000" w:sz="4" w:space="0"/>
              <w:bottom w:val="single" w:color="000000" w:sz="4" w:space="0"/>
              <w:right w:val="single" w:color="000000" w:sz="4" w:space="0"/>
            </w:tcBorders>
            <w:vAlign w:val="center"/>
          </w:tcPr>
          <w:p w14:paraId="73DDC022">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3.1 所投产品系列的技术指标和综合性能、外观状况，及对需求要求的响应程度，能否很好地实现需求中各项功能要求，综合考虑：所投产品对技术指标、性能及应用情况的响应程度。</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60A17CE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5C9CF0A3">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c>
          <w:tcPr>
            <w:tcW w:w="917" w:type="dxa"/>
            <w:tcBorders>
              <w:top w:val="single" w:color="000000" w:sz="4" w:space="0"/>
              <w:left w:val="single" w:color="000000" w:sz="4" w:space="0"/>
              <w:bottom w:val="single" w:color="000000" w:sz="4" w:space="0"/>
              <w:right w:val="single" w:color="000000" w:sz="4" w:space="0"/>
            </w:tcBorders>
            <w:vAlign w:val="center"/>
          </w:tcPr>
          <w:p w14:paraId="2B260DFE">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11BD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326"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6DE428E1">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182F2D99">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726CC83">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31DF5BE3">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3.2 根据投标产品优于招标文件技术指标要求的情况进行综合评分。</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14CFD3C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10</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097AD4B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根据投标产品</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技术性能</w:t>
            </w: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优于招标文件技术指标要求的情况进行综合评分。其中所有产品基材优于招标文件要求的，得</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4分，其他有1项优于招标文件要求的，得1.5分，满分为10分。注：各投标人应明显标注出参数配置。届时以评标委员会评审为准。</w:t>
            </w:r>
          </w:p>
        </w:tc>
        <w:tc>
          <w:tcPr>
            <w:tcW w:w="917" w:type="dxa"/>
            <w:tcBorders>
              <w:top w:val="single" w:color="000000" w:sz="4" w:space="0"/>
              <w:left w:val="single" w:color="000000" w:sz="4" w:space="0"/>
              <w:bottom w:val="single" w:color="000000" w:sz="4" w:space="0"/>
              <w:right w:val="single" w:color="000000" w:sz="4" w:space="0"/>
            </w:tcBorders>
            <w:vAlign w:val="center"/>
          </w:tcPr>
          <w:p w14:paraId="7512642E">
            <w:pPr>
              <w:keepNext w:val="0"/>
              <w:keepLines w:val="0"/>
              <w:widowControl/>
              <w:suppressLineNumbers w:val="0"/>
              <w:jc w:val="left"/>
              <w:textAlignment w:val="cente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pPr>
          </w:p>
        </w:tc>
      </w:tr>
      <w:tr w14:paraId="1AC1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732"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70FDD0AC">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62225AF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14:paraId="6D7AD43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项目管理与实施</w:t>
            </w:r>
          </w:p>
        </w:tc>
        <w:tc>
          <w:tcPr>
            <w:tcW w:w="1505" w:type="dxa"/>
            <w:tcBorders>
              <w:top w:val="single" w:color="000000" w:sz="4" w:space="0"/>
              <w:left w:val="single" w:color="000000" w:sz="4" w:space="0"/>
              <w:bottom w:val="single" w:color="000000" w:sz="4" w:space="0"/>
              <w:right w:val="single" w:color="000000" w:sz="4" w:space="0"/>
            </w:tcBorders>
            <w:vAlign w:val="center"/>
          </w:tcPr>
          <w:p w14:paraId="6CE4D38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4.1项目实施计划能否保证项目顺利实施，主要包括计划的完整性、合理性、先进性，交货、安装、调试、项目验收对业主的有利性等。</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36520B0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422D642F">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c>
          <w:tcPr>
            <w:tcW w:w="917" w:type="dxa"/>
            <w:tcBorders>
              <w:top w:val="single" w:color="000000" w:sz="4" w:space="0"/>
              <w:left w:val="single" w:color="000000" w:sz="4" w:space="0"/>
              <w:bottom w:val="single" w:color="000000" w:sz="4" w:space="0"/>
              <w:right w:val="single" w:color="000000" w:sz="4" w:space="0"/>
            </w:tcBorders>
            <w:vAlign w:val="center"/>
          </w:tcPr>
          <w:p w14:paraId="362EDCAC">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2177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120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60EA0255">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7761AFC9">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A06637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6ACF338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4.2项目家具质量控制方案，及相应的承诺等。</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1C6B3279">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02A8D486">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c>
          <w:tcPr>
            <w:tcW w:w="917" w:type="dxa"/>
            <w:tcBorders>
              <w:top w:val="single" w:color="000000" w:sz="4" w:space="0"/>
              <w:left w:val="single" w:color="000000" w:sz="4" w:space="0"/>
              <w:bottom w:val="single" w:color="000000" w:sz="4" w:space="0"/>
              <w:right w:val="single" w:color="000000" w:sz="4" w:space="0"/>
            </w:tcBorders>
            <w:vAlign w:val="center"/>
          </w:tcPr>
          <w:p w14:paraId="0EB178B1">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130B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141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vAlign w:val="center"/>
          </w:tcPr>
          <w:p w14:paraId="4B7B1BF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14:paraId="71565798">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服务部分</w:t>
            </w: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14:paraId="1A4E793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售后服务</w:t>
            </w:r>
          </w:p>
        </w:tc>
        <w:tc>
          <w:tcPr>
            <w:tcW w:w="1505" w:type="dxa"/>
            <w:tcBorders>
              <w:top w:val="single" w:color="000000" w:sz="4" w:space="0"/>
              <w:left w:val="single" w:color="000000" w:sz="4" w:space="0"/>
              <w:bottom w:val="single" w:color="000000" w:sz="4" w:space="0"/>
              <w:right w:val="single" w:color="000000" w:sz="4" w:space="0"/>
            </w:tcBorders>
            <w:vAlign w:val="center"/>
          </w:tcPr>
          <w:p w14:paraId="5AE4C65E">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5.1售后服务体系、服务分支机构和人员水平等。</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2BC1FDC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31A675AD">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c>
          <w:tcPr>
            <w:tcW w:w="917" w:type="dxa"/>
            <w:tcBorders>
              <w:top w:val="single" w:color="000000" w:sz="4" w:space="0"/>
              <w:left w:val="single" w:color="000000" w:sz="4" w:space="0"/>
              <w:bottom w:val="single" w:color="000000" w:sz="4" w:space="0"/>
              <w:right w:val="single" w:color="000000" w:sz="4" w:space="0"/>
            </w:tcBorders>
            <w:vAlign w:val="center"/>
          </w:tcPr>
          <w:p w14:paraId="73052A85">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09A0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29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7081FF72">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752C6FC9">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4FE73430">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6E383B31">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5.2保修期内服务方案，免费保修服务承诺、上门现场服务、故障响应支持、电话及现场技术支持等。</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6963BB97">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0B29F846">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按照各家供应商的应答情况分为优、良、一般三个级别评分，优得5-3.5（不含）分、良得3.5-1.5（不含）分、一般得1.5-0分。</w:t>
            </w:r>
          </w:p>
        </w:tc>
        <w:tc>
          <w:tcPr>
            <w:tcW w:w="917" w:type="dxa"/>
            <w:tcBorders>
              <w:top w:val="single" w:color="000000" w:sz="4" w:space="0"/>
              <w:left w:val="single" w:color="000000" w:sz="4" w:space="0"/>
              <w:bottom w:val="single" w:color="000000" w:sz="4" w:space="0"/>
              <w:right w:val="single" w:color="000000" w:sz="4" w:space="0"/>
            </w:tcBorders>
            <w:vAlign w:val="center"/>
          </w:tcPr>
          <w:p w14:paraId="402A171D">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1062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1335"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1DE21F1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265E5998">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AF66C8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69B6E146">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5.3备品备件库和备品备件的满足程度。</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4DE27E0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464CD286">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按照各家供应商的应答情况分为优、良、一般三个级别评分，优得2-1.4（不含）分、良得1.4-0.6（不含）分、一般得0.6-0分。</w:t>
            </w:r>
          </w:p>
        </w:tc>
        <w:tc>
          <w:tcPr>
            <w:tcW w:w="917" w:type="dxa"/>
            <w:tcBorders>
              <w:top w:val="single" w:color="000000" w:sz="4" w:space="0"/>
              <w:left w:val="single" w:color="000000" w:sz="4" w:space="0"/>
              <w:bottom w:val="single" w:color="000000" w:sz="4" w:space="0"/>
              <w:right w:val="single" w:color="000000" w:sz="4" w:space="0"/>
            </w:tcBorders>
            <w:vAlign w:val="center"/>
          </w:tcPr>
          <w:p w14:paraId="14BABB4B">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r w14:paraId="3CA8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99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0F4A5EFD">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23917C96">
            <w:pPr>
              <w:jc w:val="center"/>
              <w:rPr>
                <w:rFonts w:hint="eastAsia" w:ascii="仿宋" w:hAnsi="仿宋" w:eastAsia="仿宋" w:cs="仿宋"/>
                <w:i w:val="0"/>
                <w:color w:val="000000" w:themeColor="text1"/>
                <w:sz w:val="21"/>
                <w:szCs w:val="21"/>
                <w:highlight w:val="none"/>
                <w:u w:val="none"/>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vAlign w:val="center"/>
          </w:tcPr>
          <w:p w14:paraId="53434E6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优于需求的服务承诺</w:t>
            </w:r>
          </w:p>
        </w:tc>
        <w:tc>
          <w:tcPr>
            <w:tcW w:w="1505" w:type="dxa"/>
            <w:tcBorders>
              <w:top w:val="single" w:color="000000" w:sz="4" w:space="0"/>
              <w:left w:val="single" w:color="000000" w:sz="4" w:space="0"/>
              <w:bottom w:val="single" w:color="000000" w:sz="4" w:space="0"/>
              <w:right w:val="single" w:color="000000" w:sz="4" w:space="0"/>
            </w:tcBorders>
            <w:vAlign w:val="center"/>
          </w:tcPr>
          <w:p w14:paraId="01B086C5">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5.4优于技术需求的其他服务承诺，包括单不限于延长免费维保期、质保期内只换不修等其他更好的服务等。</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00B683F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w:t>
            </w:r>
          </w:p>
        </w:tc>
        <w:tc>
          <w:tcPr>
            <w:tcW w:w="4278" w:type="dxa"/>
            <w:gridSpan w:val="2"/>
            <w:tcBorders>
              <w:top w:val="single" w:color="000000" w:sz="4" w:space="0"/>
              <w:left w:val="single" w:color="000000" w:sz="4" w:space="0"/>
              <w:bottom w:val="single" w:color="000000" w:sz="4" w:space="0"/>
              <w:right w:val="single" w:color="000000" w:sz="4" w:space="0"/>
            </w:tcBorders>
            <w:vAlign w:val="center"/>
          </w:tcPr>
          <w:p w14:paraId="634F734F">
            <w:pPr>
              <w:keepNext w:val="0"/>
              <w:keepLines w:val="0"/>
              <w:widowControl/>
              <w:suppressLineNumbers w:val="0"/>
              <w:jc w:val="left"/>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每提供一项，得1.5分，满分为3分，不提供或提供无实质服务的不得分。</w:t>
            </w:r>
          </w:p>
        </w:tc>
        <w:tc>
          <w:tcPr>
            <w:tcW w:w="917" w:type="dxa"/>
            <w:tcBorders>
              <w:top w:val="single" w:color="000000" w:sz="4" w:space="0"/>
              <w:left w:val="single" w:color="000000" w:sz="4" w:space="0"/>
              <w:bottom w:val="single" w:color="000000" w:sz="4" w:space="0"/>
              <w:right w:val="single" w:color="000000" w:sz="4" w:space="0"/>
            </w:tcBorders>
            <w:vAlign w:val="center"/>
          </w:tcPr>
          <w:p w14:paraId="2682A81F">
            <w:pPr>
              <w:keepNext w:val="0"/>
              <w:keepLines w:val="0"/>
              <w:widowControl/>
              <w:suppressLineNumbers w:val="0"/>
              <w:jc w:val="left"/>
              <w:textAlignment w:val="cente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p>
        </w:tc>
      </w:tr>
    </w:tbl>
    <w:p w14:paraId="1C9AE368">
      <w:pPr>
        <w:pStyle w:val="4"/>
        <w:jc w:val="left"/>
        <w:rPr>
          <w:rStyle w:val="62"/>
          <w:rFonts w:hint="eastAsia" w:ascii="仿宋" w:hAnsi="仿宋" w:eastAsia="仿宋" w:cs="仿宋"/>
          <w:b/>
          <w:bCs/>
          <w:color w:val="000000" w:themeColor="text1"/>
          <w:sz w:val="24"/>
          <w:szCs w:val="24"/>
          <w:highlight w:val="none"/>
          <w14:textFill>
            <w14:solidFill>
              <w14:schemeClr w14:val="tx1"/>
            </w14:solidFill>
          </w14:textFill>
        </w:rPr>
      </w:pPr>
    </w:p>
    <w:p w14:paraId="05E392EF">
      <w:pPr>
        <w:pStyle w:val="4"/>
        <w:jc w:val="left"/>
        <w:rPr>
          <w:rStyle w:val="62"/>
          <w:rFonts w:hint="eastAsia" w:ascii="仿宋" w:hAnsi="仿宋" w:eastAsia="仿宋" w:cs="仿宋"/>
          <w:b/>
          <w:bCs/>
          <w:color w:val="000000" w:themeColor="text1"/>
          <w:sz w:val="24"/>
          <w:szCs w:val="24"/>
          <w:highlight w:val="none"/>
          <w14:textFill>
            <w14:solidFill>
              <w14:schemeClr w14:val="tx1"/>
            </w14:solidFill>
          </w14:textFill>
        </w:rPr>
      </w:pPr>
    </w:p>
    <w:p w14:paraId="494A3E59">
      <w:pPr>
        <w:rPr>
          <w:rStyle w:val="62"/>
          <w:rFonts w:hint="eastAsia" w:ascii="仿宋" w:hAnsi="仿宋" w:eastAsia="仿宋" w:cs="仿宋"/>
          <w:b/>
          <w:bCs/>
          <w:color w:val="000000" w:themeColor="text1"/>
          <w:sz w:val="24"/>
          <w:szCs w:val="24"/>
          <w:highlight w:val="none"/>
          <w14:textFill>
            <w14:solidFill>
              <w14:schemeClr w14:val="tx1"/>
            </w14:solidFill>
          </w14:textFill>
        </w:rPr>
      </w:pPr>
      <w:r>
        <w:rPr>
          <w:rStyle w:val="62"/>
          <w:rFonts w:hint="eastAsia" w:ascii="仿宋" w:hAnsi="仿宋" w:eastAsia="仿宋" w:cs="仿宋"/>
          <w:b/>
          <w:bCs/>
          <w:color w:val="000000" w:themeColor="text1"/>
          <w:sz w:val="24"/>
          <w:szCs w:val="24"/>
          <w:highlight w:val="none"/>
          <w14:textFill>
            <w14:solidFill>
              <w14:schemeClr w14:val="tx1"/>
            </w14:solidFill>
          </w14:textFill>
        </w:rPr>
        <w:br w:type="page"/>
      </w:r>
    </w:p>
    <w:p w14:paraId="79CCBC2E">
      <w:pPr>
        <w:pStyle w:val="4"/>
        <w:jc w:val="left"/>
        <w:rPr>
          <w:rFonts w:ascii="仿宋" w:hAnsi="仿宋" w:eastAsia="仿宋" w:cs="仿宋"/>
          <w:color w:val="000000" w:themeColor="text1"/>
          <w:sz w:val="36"/>
          <w:szCs w:val="36"/>
          <w:highlight w:val="none"/>
          <w14:textFill>
            <w14:solidFill>
              <w14:schemeClr w14:val="tx1"/>
            </w14:solidFill>
          </w14:textFill>
        </w:rPr>
      </w:pPr>
      <w:bookmarkStart w:id="311" w:name="_Toc12034"/>
      <w:r>
        <w:rPr>
          <w:rStyle w:val="62"/>
          <w:rFonts w:hint="eastAsia" w:ascii="仿宋" w:hAnsi="仿宋" w:eastAsia="仿宋" w:cs="仿宋"/>
          <w:b/>
          <w:bCs/>
          <w:color w:val="000000" w:themeColor="text1"/>
          <w:sz w:val="24"/>
          <w:szCs w:val="24"/>
          <w:highlight w:val="none"/>
          <w14:textFill>
            <w14:solidFill>
              <w14:schemeClr w14:val="tx1"/>
            </w14:solidFill>
          </w14:textFill>
        </w:rPr>
        <w:t>附件1 投标函</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44D7136">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中国银行股份有限公司</w:t>
      </w:r>
      <w:r>
        <w:rPr>
          <w:rFonts w:hint="eastAsia" w:ascii="仿宋" w:hAnsi="仿宋" w:cs="仿宋"/>
          <w:color w:val="000000" w:themeColor="text1"/>
          <w:highlight w:val="none"/>
          <w:lang w:eastAsia="zh-CN"/>
          <w14:textFill>
            <w14:solidFill>
              <w14:schemeClr w14:val="tx1"/>
            </w14:solidFill>
          </w14:textFill>
        </w:rPr>
        <w:t>青海省分行</w:t>
      </w:r>
      <w:r>
        <w:rPr>
          <w:rFonts w:hint="eastAsia" w:ascii="仿宋" w:hAnsi="仿宋" w:cs="仿宋"/>
          <w:color w:val="000000" w:themeColor="text1"/>
          <w:highlight w:val="none"/>
          <w14:textFill>
            <w14:solidFill>
              <w14:schemeClr w14:val="tx1"/>
            </w14:solidFill>
          </w14:textFill>
        </w:rPr>
        <w:t>：</w:t>
      </w:r>
    </w:p>
    <w:p w14:paraId="08D6077C">
      <w:pPr>
        <w:spacing w:line="360" w:lineRule="auto"/>
        <w:ind w:firstLine="480" w:firstLineChars="2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（投标人全称）授权</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（全权代表姓名、职务、职称）</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为全权代表，参加贵方组织的</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（招标编号、招标项目名称）招标的有关活动，为此：</w:t>
      </w:r>
    </w:p>
    <w:p w14:paraId="00AD289B">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提供投标人须知规定的全部投标文件（正本[</w:t>
      </w:r>
      <w:r>
        <w:rPr>
          <w:rFonts w:hint="eastAsia" w:ascii="仿宋" w:hAnsi="仿宋" w:cs="仿宋"/>
          <w:color w:val="000000" w:themeColor="text1"/>
          <w:highlight w:val="none"/>
          <w:u w:val="single"/>
          <w14:textFill>
            <w14:solidFill>
              <w14:schemeClr w14:val="tx1"/>
            </w14:solidFill>
          </w14:textFill>
        </w:rPr>
        <w:t xml:space="preserve"> 1 </w:t>
      </w:r>
      <w:r>
        <w:rPr>
          <w:rFonts w:hint="eastAsia" w:ascii="仿宋" w:hAnsi="仿宋" w:cs="仿宋"/>
          <w:color w:val="000000" w:themeColor="text1"/>
          <w:highlight w:val="none"/>
          <w14:textFill>
            <w14:solidFill>
              <w14:schemeClr w14:val="tx1"/>
            </w14:solidFill>
          </w14:textFill>
        </w:rPr>
        <w:t>]份，副本[</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u w:val="single"/>
          <w:lang w:val="en-US" w:eastAsia="zh-CN"/>
          <w14:textFill>
            <w14:solidFill>
              <w14:schemeClr w14:val="tx1"/>
            </w14:solidFill>
          </w14:textFill>
        </w:rPr>
        <w:t>1</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]份、电子版[</w:t>
      </w:r>
      <w:r>
        <w:rPr>
          <w:rFonts w:hint="eastAsia" w:ascii="仿宋" w:hAnsi="仿宋" w:cs="仿宋"/>
          <w:color w:val="000000" w:themeColor="text1"/>
          <w:highlight w:val="none"/>
          <w:u w:val="single"/>
          <w14:textFill>
            <w14:solidFill>
              <w14:schemeClr w14:val="tx1"/>
            </w14:solidFill>
          </w14:textFill>
        </w:rPr>
        <w:t xml:space="preserve"> 1 </w:t>
      </w:r>
      <w:r>
        <w:rPr>
          <w:rFonts w:hint="eastAsia" w:ascii="仿宋" w:hAnsi="仿宋" w:cs="仿宋"/>
          <w:color w:val="000000" w:themeColor="text1"/>
          <w:highlight w:val="none"/>
          <w14:textFill>
            <w14:solidFill>
              <w14:schemeClr w14:val="tx1"/>
            </w14:solidFill>
          </w14:textFill>
        </w:rPr>
        <w:t>]份）。</w:t>
      </w:r>
    </w:p>
    <w:p w14:paraId="5EBB0391">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满足招标文件全部需求的投标报价为：</w:t>
      </w:r>
      <w:r>
        <w:rPr>
          <w:rFonts w:hint="eastAsia" w:ascii="仿宋" w:hAnsi="仿宋" w:cs="仿宋"/>
          <w:color w:val="000000" w:themeColor="text1"/>
          <w:highlight w:val="none"/>
          <w:u w:val="single"/>
          <w14:textFill>
            <w14:solidFill>
              <w14:schemeClr w14:val="tx1"/>
            </w14:solidFill>
          </w14:textFill>
        </w:rPr>
        <w:t>见附件2：开标一览表</w:t>
      </w:r>
      <w:r>
        <w:rPr>
          <w:rFonts w:hint="eastAsia" w:ascii="仿宋" w:hAnsi="仿宋" w:cs="仿宋"/>
          <w:color w:val="000000" w:themeColor="text1"/>
          <w:highlight w:val="none"/>
          <w14:textFill>
            <w14:solidFill>
              <w14:schemeClr w14:val="tx1"/>
            </w14:solidFill>
          </w14:textFill>
        </w:rPr>
        <w:t>。</w:t>
      </w:r>
    </w:p>
    <w:p w14:paraId="12F6BF48">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我方将按招标文件的规定履行全部责任和义务。</w:t>
      </w:r>
    </w:p>
    <w:p w14:paraId="2EB62F49">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我方已详细审查全部招标文件，如有异议，我们已</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将按照《招投标法实施条例》要求时限和方式提出，而不会在开标现场对招标文件提出异议及</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或质疑争议。</w:t>
      </w:r>
    </w:p>
    <w:p w14:paraId="3AA9D863">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本投标有效期为自开标日起</w:t>
      </w:r>
      <w:r>
        <w:rPr>
          <w:rFonts w:hint="eastAsia" w:ascii="仿宋" w:hAnsi="仿宋" w:cs="仿宋"/>
          <w:color w:val="000000" w:themeColor="text1"/>
          <w:highlight w:val="none"/>
          <w:u w:val="single"/>
          <w:lang w:val="en-US" w:eastAsia="zh-CN"/>
          <w14:textFill>
            <w14:solidFill>
              <w14:schemeClr w14:val="tx1"/>
            </w14:solidFill>
          </w14:textFill>
        </w:rPr>
        <w:t xml:space="preserve">  90  </w:t>
      </w:r>
      <w:r>
        <w:rPr>
          <w:rFonts w:hint="eastAsia" w:ascii="仿宋" w:hAnsi="仿宋" w:cs="仿宋"/>
          <w:color w:val="000000" w:themeColor="text1"/>
          <w:highlight w:val="none"/>
          <w14:textFill>
            <w14:solidFill>
              <w14:schemeClr w14:val="tx1"/>
            </w14:solidFill>
          </w14:textFill>
        </w:rPr>
        <w:t>个日历日</w:t>
      </w:r>
      <w:r>
        <w:rPr>
          <w:rFonts w:hint="eastAsia" w:ascii="仿宋" w:hAnsi="仿宋" w:cs="仿宋"/>
          <w:color w:val="000000" w:themeColor="text1"/>
          <w:highlight w:val="none"/>
          <w:lang w:eastAsia="zh-CN"/>
          <w14:textFill>
            <w14:solidFill>
              <w14:schemeClr w14:val="tx1"/>
            </w14:solidFill>
          </w14:textFill>
        </w:rPr>
        <w:t>。</w:t>
      </w:r>
    </w:p>
    <w:p w14:paraId="13BADFEC">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如果在规定的开标时间后，我方在投标有效期内撤回投标，投标保证金将被贵方没收。</w:t>
      </w:r>
    </w:p>
    <w:p w14:paraId="16CE5790">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愿意向贵方提供任何与该项投标有关的数据、情况和技术资料，完全理解贵方不一定接受最低价的投标或收到的任何投标。</w:t>
      </w:r>
    </w:p>
    <w:p w14:paraId="3BE62256">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我方承诺：在招标人支付合同款项时，投标人将向招标人提供</w:t>
      </w:r>
      <w:r>
        <w:rPr>
          <w:rFonts w:hint="eastAsia" w:ascii="仿宋" w:hAnsi="仿宋" w:cs="仿宋"/>
          <w:b/>
          <w:bCs/>
          <w:color w:val="000000" w:themeColor="text1"/>
          <w:kern w:val="0"/>
          <w:highlight w:val="none"/>
          <w14:textFill>
            <w14:solidFill>
              <w14:schemeClr w14:val="tx1"/>
            </w14:solidFill>
          </w14:textFill>
        </w:rPr>
        <w:t>增值税合法抵扣凭证</w:t>
      </w:r>
      <w:r>
        <w:rPr>
          <w:rFonts w:hint="eastAsia" w:ascii="仿宋" w:hAnsi="仿宋" w:cs="仿宋"/>
          <w:color w:val="000000" w:themeColor="text1"/>
          <w:kern w:val="0"/>
          <w:highlight w:val="none"/>
          <w14:textFill>
            <w14:solidFill>
              <w14:schemeClr w14:val="tx1"/>
            </w14:solidFill>
          </w14:textFill>
        </w:rPr>
        <w:t>（即增值税专用发票）。</w:t>
      </w:r>
    </w:p>
    <w:p w14:paraId="39488118">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w:t>
      </w:r>
    </w:p>
    <w:p w14:paraId="2678BD9A">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与存在关联关系的投标人不同时参与本项目；</w:t>
      </w:r>
    </w:p>
    <w:p w14:paraId="209F046B">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本项目的同一标段</w:t>
      </w:r>
      <w:r>
        <w:rPr>
          <w:rFonts w:hint="eastAsia" w:ascii="仿宋" w:hAnsi="仿宋" w:cs="仿宋"/>
          <w:bCs/>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分包。</w:t>
      </w:r>
    </w:p>
    <w:p w14:paraId="1FEF5FE2">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关联关系投标人包含以下情况：</w:t>
      </w:r>
    </w:p>
    <w:p w14:paraId="51F194ED">
      <w:pPr>
        <w:spacing w:line="360" w:lineRule="auto"/>
        <w:ind w:left="420"/>
        <w:outlineLvl w:val="1"/>
        <w:rPr>
          <w:rFonts w:ascii="仿宋" w:hAnsi="仿宋" w:cs="仿宋"/>
          <w:color w:val="000000" w:themeColor="text1"/>
          <w:highlight w:val="none"/>
          <w14:textFill>
            <w14:solidFill>
              <w14:schemeClr w14:val="tx1"/>
            </w14:solidFill>
          </w14:textFill>
        </w:rPr>
      </w:pPr>
      <w:bookmarkStart w:id="312" w:name="_Toc22548"/>
      <w:bookmarkStart w:id="313" w:name="_Toc108796165"/>
      <w:bookmarkStart w:id="314" w:name="_Toc150933638"/>
      <w:bookmarkStart w:id="315" w:name="_Toc1081"/>
      <w:bookmarkStart w:id="316" w:name="_Toc149230419"/>
      <w:r>
        <w:rPr>
          <w:rFonts w:hint="eastAsia" w:ascii="仿宋" w:hAnsi="仿宋" w:cs="仿宋"/>
          <w:b/>
          <w:color w:val="000000" w:themeColor="text1"/>
          <w:highlight w:val="none"/>
          <w14:textFill>
            <w14:solidFill>
              <w14:schemeClr w14:val="tx1"/>
            </w14:solidFill>
          </w14:textFill>
        </w:rPr>
        <w:t>（1）</w:t>
      </w:r>
      <w:r>
        <w:rPr>
          <w:rFonts w:hint="eastAsia" w:ascii="仿宋" w:hAnsi="仿宋" w:cs="仿宋"/>
          <w:color w:val="000000" w:themeColor="text1"/>
          <w:highlight w:val="none"/>
          <w14:textFill>
            <w14:solidFill>
              <w14:schemeClr w14:val="tx1"/>
            </w14:solidFill>
          </w14:textFill>
        </w:rPr>
        <w:t>与我方单位负责人为同一人的其他投标人；</w:t>
      </w:r>
      <w:bookmarkEnd w:id="312"/>
      <w:bookmarkEnd w:id="313"/>
      <w:bookmarkEnd w:id="314"/>
      <w:bookmarkEnd w:id="315"/>
      <w:bookmarkEnd w:id="316"/>
    </w:p>
    <w:p w14:paraId="0628A344">
      <w:pPr>
        <w:spacing w:line="360" w:lineRule="auto"/>
        <w:ind w:left="420"/>
        <w:outlineLvl w:val="1"/>
        <w:rPr>
          <w:rFonts w:ascii="仿宋" w:hAnsi="仿宋" w:cs="仿宋"/>
          <w:color w:val="000000" w:themeColor="text1"/>
          <w:highlight w:val="none"/>
          <w14:textFill>
            <w14:solidFill>
              <w14:schemeClr w14:val="tx1"/>
            </w14:solidFill>
          </w14:textFill>
        </w:rPr>
      </w:pPr>
      <w:bookmarkStart w:id="317" w:name="_Toc150933639"/>
      <w:bookmarkStart w:id="318" w:name="_Toc108796166"/>
      <w:bookmarkStart w:id="319" w:name="_Toc13550"/>
      <w:bookmarkStart w:id="320" w:name="_Toc16050"/>
      <w:bookmarkStart w:id="321" w:name="_Toc149230420"/>
      <w:r>
        <w:rPr>
          <w:rFonts w:hint="eastAsia" w:ascii="仿宋" w:hAnsi="仿宋" w:cs="仿宋"/>
          <w:b/>
          <w:color w:val="000000" w:themeColor="text1"/>
          <w:highlight w:val="none"/>
          <w14:textFill>
            <w14:solidFill>
              <w14:schemeClr w14:val="tx1"/>
            </w14:solidFill>
          </w14:textFill>
        </w:rPr>
        <w:t>（2）</w:t>
      </w:r>
      <w:r>
        <w:rPr>
          <w:rFonts w:hint="eastAsia" w:ascii="仿宋" w:hAnsi="仿宋" w:cs="仿宋"/>
          <w:color w:val="000000" w:themeColor="text1"/>
          <w:highlight w:val="none"/>
          <w14:textFill>
            <w14:solidFill>
              <w14:schemeClr w14:val="tx1"/>
            </w14:solidFill>
          </w14:textFill>
        </w:rPr>
        <w:t>与我方存在直接控股、管理关系的其他投标人。</w:t>
      </w:r>
      <w:bookmarkEnd w:id="317"/>
      <w:bookmarkEnd w:id="318"/>
      <w:bookmarkEnd w:id="319"/>
      <w:bookmarkEnd w:id="320"/>
      <w:bookmarkEnd w:id="321"/>
    </w:p>
    <w:p w14:paraId="23ABA8BE">
      <w:pPr>
        <w:spacing w:line="360" w:lineRule="auto"/>
        <w:ind w:left="4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我方已向招标人如实披露与我方存在关联关系的其他投标人。招标人有权取消存在关联关系投标人参与本项目的资格或重新组织招标。</w:t>
      </w:r>
    </w:p>
    <w:p w14:paraId="3E8EF581">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我方承诺：不与其他投标人相互串通投标报价，不排挤其他投标人的公平竞争，损害招标人或者其他投标人的合法权益。</w:t>
      </w:r>
    </w:p>
    <w:p w14:paraId="30D1FE94">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我方承诺：截至招标公告发布/邀请发出之日（含），投标人未被“信用中国”网站（http://www.creditchina.gov.cn）列入失信被执行人、重大税收违法失信主体、政府采购严重违法失信行为记录名单。</w:t>
      </w:r>
    </w:p>
    <w:p w14:paraId="11D1EEB9">
      <w:pPr>
        <w:pStyle w:val="32"/>
        <w:numPr>
          <w:ilvl w:val="0"/>
          <w:numId w:val="55"/>
        </w:numPr>
        <w:spacing w:line="360" w:lineRule="auto"/>
        <w:ind w:leftChars="0" w:firstLineChars="0"/>
        <w:rPr>
          <w:rFonts w:ascii="仿宋" w:hAnsi="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14:textFill>
            <w14:solidFill>
              <w14:schemeClr w14:val="tx1"/>
            </w14:solidFill>
          </w14:textFill>
        </w:rPr>
        <w:t>我方承诺：近3年（20</w:t>
      </w:r>
      <w:r>
        <w:rPr>
          <w:rFonts w:hint="eastAsia" w:ascii="仿宋" w:hAnsi="仿宋" w:cs="仿宋"/>
          <w:color w:val="000000" w:themeColor="text1"/>
          <w:sz w:val="24"/>
          <w:szCs w:val="24"/>
          <w:highlight w:val="none"/>
          <w:lang w:val="en-US" w:eastAsia="zh-CN"/>
          <w14:textFill>
            <w14:solidFill>
              <w14:schemeClr w14:val="tx1"/>
            </w14:solidFill>
          </w14:textFill>
        </w:rPr>
        <w:t>22</w:t>
      </w:r>
      <w:r>
        <w:rPr>
          <w:rFonts w:hint="eastAsia" w:ascii="仿宋" w:hAnsi="仿宋" w:cs="仿宋"/>
          <w:color w:val="000000" w:themeColor="text1"/>
          <w:sz w:val="24"/>
          <w:szCs w:val="24"/>
          <w:highlight w:val="none"/>
          <w14:textFill>
            <w14:solidFill>
              <w14:schemeClr w14:val="tx1"/>
            </w14:solidFill>
          </w14:textFill>
        </w:rPr>
        <w:t>年1月1日至招标公告发布/邀请发出之日（含）），投标人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69BBBADA">
      <w:pPr>
        <w:pStyle w:val="116"/>
        <w:numPr>
          <w:ilvl w:val="0"/>
          <w:numId w:val="55"/>
        </w:numPr>
        <w:spacing w:line="360" w:lineRule="auto"/>
        <w:ind w:firstLineChars="0"/>
        <w:rPr>
          <w:rFonts w:ascii="仿宋" w:hAnsi="仿宋" w:cs="仿宋"/>
          <w:bCs/>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w:t>
      </w:r>
      <w:r>
        <w:rPr>
          <w:rFonts w:hint="eastAsia" w:ascii="仿宋" w:hAnsi="仿宋" w:cs="仿宋"/>
          <w:bCs/>
          <w:color w:val="000000" w:themeColor="text1"/>
          <w:highlight w:val="none"/>
          <w14:textFill>
            <w14:solidFill>
              <w14:schemeClr w14:val="tx1"/>
            </w14:solidFill>
          </w14:textFill>
        </w:rPr>
        <w:t>承诺：无行贿、受贿记录行为，无串标、围标行为、弄虚作假骗取中标行为，如因上述行为之一被处罚则自愿承担相应责任，投标无效。</w:t>
      </w:r>
      <w:r>
        <w:rPr>
          <w:rFonts w:hint="eastAsia" w:ascii="仿宋" w:hAnsi="仿宋" w:cs="仿宋"/>
          <w:color w:val="000000" w:themeColor="text1"/>
          <w:highlight w:val="none"/>
          <w14:textFill>
            <w14:solidFill>
              <w14:schemeClr w14:val="tx1"/>
            </w14:solidFill>
          </w14:textFill>
        </w:rPr>
        <w:t>招标人有权将我方列入中国银行供应商不良行为名单。</w:t>
      </w:r>
    </w:p>
    <w:p w14:paraId="322577CE">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我方承诺：截至递交投标文件截止日，未处于中国银行供应商不良行为禁入名单处罚期内。</w:t>
      </w:r>
    </w:p>
    <w:p w14:paraId="6E16D214">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招标人在使用我方提供的服务时，在使用的国家/地区不存在任何已知的不合法的情形，也不存在任何已知的与第三方专利权、著作权、商标权等知识产权、肖像权等民事权利相关的侵权行为。如果有任何因招标人使用我方提供的服务而提起的侵权指控，我方须依法承担全部责任。</w:t>
      </w:r>
    </w:p>
    <w:p w14:paraId="7799E839">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我方承诺：如国家对我公司本项目所投产品有相关强制认证要求，在供货前提供所报产品满足相关国家强制认证要求的证书（复印件加盖公章）。</w:t>
      </w:r>
    </w:p>
    <w:p w14:paraId="423D47F0">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我方承诺：如我方所报货物/服务实行生产许可证制度和产品鉴定（认证）制度，在供货前提供所报货物/服务的生产许可证和产品鉴定（认证）证书（提供复印件并加盖公章）。</w:t>
      </w:r>
    </w:p>
    <w:p w14:paraId="35D75BD7">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授权贵方查询或调查我们递交的与本投标文件有关的声明、文件和资料，并同意在贵方的要求下提供相关文件或证书的原件及其他相关书面材料，以及通过我们的开户银行和客户澄清投标文件中有关财务和技术方面的问题。</w:t>
      </w:r>
    </w:p>
    <w:p w14:paraId="32226C9D">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我方在法律和财务上独立、合法运作并独立于招标人和招标代理机构，与招标人为本项目所委托的咨询公司或其附属机构没有直接或间接地任何关联。</w:t>
      </w:r>
    </w:p>
    <w:p w14:paraId="5E21DABD">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我方承诺:我方不是招标人的关联方，同时不为招标人关联方所控制，招标人如果发现我方存在上述情形，我方放弃中选资格。</w:t>
      </w:r>
    </w:p>
    <w:p w14:paraId="0CABA21A">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我方承诺：</w:t>
      </w:r>
    </w:p>
    <w:p w14:paraId="66E12435">
      <w:pPr>
        <w:spacing w:line="360" w:lineRule="auto"/>
        <w:ind w:left="227" w:firstLine="120" w:firstLineChars="5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sym w:font="Wingdings 2" w:char="00A3"/>
      </w:r>
      <w:r>
        <w:rPr>
          <w:rFonts w:hint="eastAsia" w:ascii="仿宋" w:hAnsi="仿宋" w:cs="仿宋"/>
          <w:color w:val="000000" w:themeColor="text1"/>
          <w:highlight w:val="none"/>
          <w14:textFill>
            <w14:solidFill>
              <w14:schemeClr w14:val="tx1"/>
            </w14:solidFill>
          </w14:textFill>
        </w:rPr>
        <w:t>我方不是招标人的关联方,若在采购过程中我方成为招标人的关联方，将及时告知招标人。</w:t>
      </w:r>
    </w:p>
    <w:p w14:paraId="03029756">
      <w:pPr>
        <w:spacing w:line="360" w:lineRule="auto"/>
        <w:ind w:firstLine="360" w:firstLineChars="15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sym w:font="Wingdings 2" w:char="00A3"/>
      </w:r>
      <w:r>
        <w:rPr>
          <w:rFonts w:hint="eastAsia" w:ascii="仿宋" w:hAnsi="仿宋" w:cs="仿宋"/>
          <w:color w:val="000000" w:themeColor="text1"/>
          <w:highlight w:val="none"/>
          <w14:textFill>
            <w14:solidFill>
              <w14:schemeClr w14:val="tx1"/>
            </w14:solidFill>
          </w14:textFill>
        </w:rPr>
        <w:t>我方为招标人的关联方，我方的报价遵守商业原则及监管相关规定，为市场公允价格。</w:t>
      </w:r>
    </w:p>
    <w:p w14:paraId="41EF342F">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若我方获得中标，我方保证按有关规定向贵方支付招标代理服务费。</w:t>
      </w:r>
    </w:p>
    <w:p w14:paraId="44D4A03A">
      <w:pPr>
        <w:numPr>
          <w:ilvl w:val="0"/>
          <w:numId w:val="5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与本投标有关的一切往来通讯请寄：</w:t>
      </w:r>
    </w:p>
    <w:p w14:paraId="3DF2065D">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地址 </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 xml:space="preserve">   </w:t>
      </w:r>
    </w:p>
    <w:p w14:paraId="2F5006D3">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电话 </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 xml:space="preserve">    电子函件</w:t>
      </w:r>
      <w:r>
        <w:rPr>
          <w:rFonts w:hint="eastAsia" w:ascii="仿宋" w:hAnsi="仿宋" w:cs="仿宋"/>
          <w:color w:val="000000" w:themeColor="text1"/>
          <w:highlight w:val="none"/>
          <w:u w:val="single"/>
          <w14:textFill>
            <w14:solidFill>
              <w14:schemeClr w14:val="tx1"/>
            </w14:solidFill>
          </w14:textFill>
        </w:rPr>
        <w:t xml:space="preserve">                                </w:t>
      </w:r>
    </w:p>
    <w:p w14:paraId="3E97C370">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投标人名称（盖章）：                           投标人授权代表（签字）：    </w:t>
      </w:r>
    </w:p>
    <w:p w14:paraId="6A721BCF">
      <w:pPr>
        <w:spacing w:line="360" w:lineRule="auto"/>
        <w:ind w:left="1370" w:leftChars="571" w:firstLine="4267" w:firstLineChars="1778"/>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日      期：</w:t>
      </w:r>
    </w:p>
    <w:p w14:paraId="42B7A659">
      <w:pPr>
        <w:pStyle w:val="4"/>
        <w:rPr>
          <w:rStyle w:val="62"/>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322" w:name="_Toc25329"/>
      <w:bookmarkStart w:id="323" w:name="_Toc21223"/>
      <w:bookmarkStart w:id="324" w:name="_Toc20059"/>
      <w:bookmarkStart w:id="325" w:name="_Toc10687"/>
      <w:bookmarkStart w:id="326" w:name="_Toc108796167"/>
      <w:bookmarkStart w:id="327" w:name="_Toc17158"/>
      <w:bookmarkStart w:id="328" w:name="_Toc150933640"/>
      <w:bookmarkStart w:id="329" w:name="_Toc149230421"/>
      <w:bookmarkStart w:id="330" w:name="_Toc19939"/>
      <w:bookmarkStart w:id="331" w:name="_Toc17412"/>
      <w:bookmarkStart w:id="332" w:name="_Toc13936"/>
      <w:bookmarkStart w:id="333" w:name="_Toc23354"/>
      <w:bookmarkStart w:id="334" w:name="_Toc2713"/>
      <w:bookmarkStart w:id="335" w:name="_Toc29708"/>
      <w:bookmarkStart w:id="336" w:name="_Toc12106"/>
      <w:bookmarkStart w:id="337" w:name="_Toc344540612"/>
      <w:r>
        <w:rPr>
          <w:rStyle w:val="62"/>
          <w:rFonts w:hint="eastAsia" w:ascii="仿宋" w:hAnsi="仿宋" w:eastAsia="仿宋" w:cs="仿宋"/>
          <w:b/>
          <w:bCs/>
          <w:color w:val="000000" w:themeColor="text1"/>
          <w:sz w:val="24"/>
          <w:szCs w:val="24"/>
          <w:highlight w:val="none"/>
          <w14:textFill>
            <w14:solidFill>
              <w14:schemeClr w14:val="tx1"/>
            </w14:solidFill>
          </w14:textFill>
        </w:rPr>
        <w:t>附件2-1 开标一览表</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AAA24CE">
      <w:pPr>
        <w:spacing w:line="360" w:lineRule="auto"/>
        <w:ind w:left="-1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项目名称：</w:t>
      </w:r>
    </w:p>
    <w:p w14:paraId="1A35F51D">
      <w:pPr>
        <w:spacing w:line="360" w:lineRule="auto"/>
        <w:ind w:left="-120"/>
        <w:rPr>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招标编号：</w:t>
      </w:r>
    </w:p>
    <w:tbl>
      <w:tblPr>
        <w:tblStyle w:val="33"/>
        <w:tblpPr w:leftFromText="180" w:rightFromText="180" w:vertAnchor="text" w:horzAnchor="page" w:tblpX="1605" w:tblpY="6"/>
        <w:tblOverlap w:val="never"/>
        <w:tblW w:w="85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534"/>
        <w:gridCol w:w="184"/>
        <w:gridCol w:w="833"/>
        <w:gridCol w:w="1000"/>
        <w:gridCol w:w="1183"/>
        <w:gridCol w:w="1255"/>
        <w:gridCol w:w="906"/>
        <w:gridCol w:w="850"/>
        <w:gridCol w:w="559"/>
      </w:tblGrid>
      <w:tr w14:paraId="44EEE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14" w:type="dxa"/>
            <w:vAlign w:val="center"/>
          </w:tcPr>
          <w:p w14:paraId="5041C11C">
            <w:pPr>
              <w:spacing w:line="360" w:lineRule="auto"/>
              <w:jc w:val="center"/>
              <w:rPr>
                <w:rFonts w:ascii="仿宋" w:hAnsi="仿宋"/>
                <w:color w:val="000000" w:themeColor="text1"/>
                <w:highlight w:val="none"/>
                <w14:textFill>
                  <w14:solidFill>
                    <w14:schemeClr w14:val="tx1"/>
                  </w14:solidFill>
                </w14:textFill>
              </w:rPr>
            </w:pPr>
            <w:r>
              <w:rPr>
                <w:rFonts w:ascii="仿宋" w:hAnsi="仿宋" w:cstheme="minorBidi"/>
                <w:color w:val="000000" w:themeColor="text1"/>
                <w:highlight w:val="none"/>
                <w14:textFill>
                  <w14:solidFill>
                    <w14:schemeClr w14:val="tx1"/>
                  </w14:solidFill>
                </w14:textFill>
              </w:rPr>
              <w:t>货物/服务/工程内容</w:t>
            </w:r>
          </w:p>
        </w:tc>
        <w:tc>
          <w:tcPr>
            <w:tcW w:w="718" w:type="dxa"/>
            <w:gridSpan w:val="2"/>
            <w:vAlign w:val="center"/>
          </w:tcPr>
          <w:p w14:paraId="2A5EB5D5">
            <w:pPr>
              <w:spacing w:line="360" w:lineRule="auto"/>
              <w:jc w:val="center"/>
              <w:rPr>
                <w:rFonts w:hint="eastAsia" w:ascii="仿宋" w:hAnsi="仿宋" w:eastAsia="仿宋"/>
                <w:color w:val="000000" w:themeColor="text1"/>
                <w:highlight w:val="none"/>
                <w:lang w:val="en-US" w:eastAsia="zh-CN"/>
                <w14:textFill>
                  <w14:solidFill>
                    <w14:schemeClr w14:val="tx1"/>
                  </w14:solidFill>
                </w14:textFill>
              </w:rPr>
            </w:pPr>
            <w:r>
              <w:rPr>
                <w:rFonts w:hint="eastAsia" w:ascii="仿宋" w:hAnsi="仿宋"/>
                <w:color w:val="000000" w:themeColor="text1"/>
                <w:highlight w:val="none"/>
                <w:lang w:val="en-US" w:eastAsia="zh-CN"/>
                <w14:textFill>
                  <w14:solidFill>
                    <w14:schemeClr w14:val="tx1"/>
                  </w14:solidFill>
                </w14:textFill>
              </w:rPr>
              <w:t>货物 所属地</w:t>
            </w:r>
          </w:p>
        </w:tc>
        <w:tc>
          <w:tcPr>
            <w:tcW w:w="833" w:type="dxa"/>
            <w:vAlign w:val="center"/>
          </w:tcPr>
          <w:p w14:paraId="5262A632">
            <w:pPr>
              <w:spacing w:line="360" w:lineRule="auto"/>
              <w:jc w:val="center"/>
              <w:rPr>
                <w:rFonts w:hint="eastAsia" w:ascii="仿宋" w:hAnsi="仿宋" w:eastAsia="仿宋"/>
                <w:color w:val="000000" w:themeColor="text1"/>
                <w:highlight w:val="none"/>
                <w:lang w:val="en-US" w:eastAsia="zh-CN"/>
                <w14:textFill>
                  <w14:solidFill>
                    <w14:schemeClr w14:val="tx1"/>
                  </w14:solidFill>
                </w14:textFill>
              </w:rPr>
            </w:pPr>
            <w:r>
              <w:rPr>
                <w:rFonts w:hint="eastAsia" w:ascii="仿宋" w:hAnsi="仿宋"/>
                <w:color w:val="000000" w:themeColor="text1"/>
                <w:highlight w:val="none"/>
                <w:lang w:val="en-US" w:eastAsia="zh-CN"/>
                <w14:textFill>
                  <w14:solidFill>
                    <w14:schemeClr w14:val="tx1"/>
                  </w14:solidFill>
                </w14:textFill>
              </w:rPr>
              <w:t>货物类型</w:t>
            </w:r>
          </w:p>
        </w:tc>
        <w:tc>
          <w:tcPr>
            <w:tcW w:w="1000" w:type="dxa"/>
            <w:vAlign w:val="center"/>
          </w:tcPr>
          <w:p w14:paraId="15DB7753">
            <w:pPr>
              <w:spacing w:line="360" w:lineRule="auto"/>
              <w:jc w:val="center"/>
              <w:rPr>
                <w:rFonts w:ascii="仿宋" w:hAnsi="仿宋" w:cstheme="minorBidi"/>
                <w:color w:val="000000" w:themeColor="text1"/>
                <w:sz w:val="21"/>
                <w:highlight w:val="none"/>
                <w14:textFill>
                  <w14:solidFill>
                    <w14:schemeClr w14:val="tx1"/>
                  </w14:solidFill>
                </w14:textFill>
              </w:rPr>
            </w:pPr>
            <w:r>
              <w:rPr>
                <w:rFonts w:hint="eastAsia" w:ascii="仿宋" w:hAnsi="仿宋"/>
                <w:color w:val="000000" w:themeColor="text1"/>
                <w:highlight w:val="none"/>
                <w14:textFill>
                  <w14:solidFill>
                    <w14:schemeClr w14:val="tx1"/>
                  </w14:solidFill>
                </w14:textFill>
              </w:rPr>
              <w:t>币种</w:t>
            </w:r>
          </w:p>
        </w:tc>
        <w:tc>
          <w:tcPr>
            <w:tcW w:w="1183" w:type="dxa"/>
            <w:vAlign w:val="center"/>
          </w:tcPr>
          <w:p w14:paraId="7A0E6660">
            <w:pPr>
              <w:spacing w:line="360" w:lineRule="auto"/>
              <w:jc w:val="center"/>
              <w:rPr>
                <w:rFonts w:ascii="仿宋" w:hAnsi="仿宋" w:cstheme="minorBidi"/>
                <w:color w:val="000000" w:themeColor="text1"/>
                <w:sz w:val="21"/>
                <w:highlight w:val="none"/>
                <w:lang w:bidi="ar"/>
                <w14:textFill>
                  <w14:solidFill>
                    <w14:schemeClr w14:val="tx1"/>
                  </w14:solidFill>
                </w14:textFill>
              </w:rPr>
            </w:pPr>
            <w:r>
              <w:rPr>
                <w:rFonts w:hint="eastAsia" w:ascii="仿宋" w:hAnsi="仿宋" w:cstheme="minorBidi"/>
                <w:color w:val="000000" w:themeColor="text1"/>
                <w:sz w:val="21"/>
                <w:highlight w:val="none"/>
                <w:lang w:bidi="ar"/>
                <w14:textFill>
                  <w14:solidFill>
                    <w14:schemeClr w14:val="tx1"/>
                  </w14:solidFill>
                </w14:textFill>
              </w:rPr>
              <w:t>不含税</w:t>
            </w:r>
          </w:p>
          <w:p w14:paraId="0AE78C7C">
            <w:pPr>
              <w:spacing w:line="360" w:lineRule="auto"/>
              <w:jc w:val="center"/>
              <w:rPr>
                <w:rFonts w:ascii="仿宋" w:hAnsi="仿宋" w:cstheme="minorBidi"/>
                <w:color w:val="000000" w:themeColor="text1"/>
                <w:sz w:val="21"/>
                <w:highlight w:val="none"/>
                <w14:textFill>
                  <w14:solidFill>
                    <w14:schemeClr w14:val="tx1"/>
                  </w14:solidFill>
                </w14:textFill>
              </w:rPr>
            </w:pPr>
            <w:r>
              <w:rPr>
                <w:rFonts w:hint="eastAsia" w:ascii="仿宋" w:hAnsi="仿宋" w:cstheme="minorBidi"/>
                <w:color w:val="000000" w:themeColor="text1"/>
                <w:sz w:val="21"/>
                <w:highlight w:val="none"/>
                <w:lang w:bidi="ar"/>
                <w14:textFill>
                  <w14:solidFill>
                    <w14:schemeClr w14:val="tx1"/>
                  </w14:solidFill>
                </w14:textFill>
              </w:rPr>
              <w:t>总价（元）</w:t>
            </w:r>
          </w:p>
        </w:tc>
        <w:tc>
          <w:tcPr>
            <w:tcW w:w="1255" w:type="dxa"/>
            <w:vAlign w:val="center"/>
          </w:tcPr>
          <w:p w14:paraId="4EBF770D">
            <w:pPr>
              <w:spacing w:line="360" w:lineRule="auto"/>
              <w:jc w:val="center"/>
              <w:rPr>
                <w:rFonts w:ascii="仿宋" w:hAnsi="仿宋"/>
                <w:color w:val="000000" w:themeColor="text1"/>
                <w:highlight w:val="none"/>
                <w:lang w:bidi="ar"/>
                <w14:textFill>
                  <w14:solidFill>
                    <w14:schemeClr w14:val="tx1"/>
                  </w14:solidFill>
                </w14:textFill>
              </w:rPr>
            </w:pPr>
            <w:r>
              <w:rPr>
                <w:rFonts w:hint="eastAsia" w:ascii="仿宋" w:hAnsi="仿宋"/>
                <w:color w:val="000000" w:themeColor="text1"/>
                <w:highlight w:val="none"/>
                <w:lang w:bidi="ar"/>
                <w14:textFill>
                  <w14:solidFill>
                    <w14:schemeClr w14:val="tx1"/>
                  </w14:solidFill>
                </w14:textFill>
              </w:rPr>
              <w:t>含税</w:t>
            </w:r>
          </w:p>
          <w:p w14:paraId="6D952DEC">
            <w:pPr>
              <w:spacing w:line="360" w:lineRule="auto"/>
              <w:jc w:val="center"/>
              <w:rPr>
                <w:rFonts w:ascii="仿宋" w:hAnsi="仿宋"/>
                <w:color w:val="000000" w:themeColor="text1"/>
                <w:highlight w:val="none"/>
                <w14:textFill>
                  <w14:solidFill>
                    <w14:schemeClr w14:val="tx1"/>
                  </w14:solidFill>
                </w14:textFill>
              </w:rPr>
            </w:pPr>
            <w:r>
              <w:rPr>
                <w:rFonts w:hint="eastAsia" w:ascii="仿宋" w:hAnsi="仿宋"/>
                <w:color w:val="000000" w:themeColor="text1"/>
                <w:highlight w:val="none"/>
                <w:lang w:bidi="ar"/>
                <w14:textFill>
                  <w14:solidFill>
                    <w14:schemeClr w14:val="tx1"/>
                  </w14:solidFill>
                </w14:textFill>
              </w:rPr>
              <w:t>总价（元）</w:t>
            </w:r>
          </w:p>
        </w:tc>
        <w:tc>
          <w:tcPr>
            <w:tcW w:w="906" w:type="dxa"/>
            <w:vAlign w:val="center"/>
          </w:tcPr>
          <w:p w14:paraId="416325F6">
            <w:pPr>
              <w:spacing w:line="360" w:lineRule="auto"/>
              <w:jc w:val="center"/>
              <w:rPr>
                <w:rFonts w:ascii="仿宋" w:hAnsi="仿宋"/>
                <w:color w:val="000000" w:themeColor="text1"/>
                <w:highlight w:val="none"/>
                <w14:textFill>
                  <w14:solidFill>
                    <w14:schemeClr w14:val="tx1"/>
                  </w14:solidFill>
                </w14:textFill>
              </w:rPr>
            </w:pPr>
            <w:r>
              <w:rPr>
                <w:rFonts w:hint="eastAsia" w:ascii="仿宋" w:hAnsi="仿宋" w:cstheme="minorBidi"/>
                <w:color w:val="000000" w:themeColor="text1"/>
                <w:sz w:val="21"/>
                <w:highlight w:val="none"/>
                <w:lang w:bidi="ar"/>
                <w14:textFill>
                  <w14:solidFill>
                    <w14:schemeClr w14:val="tx1"/>
                  </w14:solidFill>
                </w14:textFill>
              </w:rPr>
              <w:t>税率备注</w:t>
            </w:r>
          </w:p>
        </w:tc>
        <w:tc>
          <w:tcPr>
            <w:tcW w:w="850" w:type="dxa"/>
            <w:vAlign w:val="center"/>
          </w:tcPr>
          <w:p w14:paraId="05403C4A">
            <w:pPr>
              <w:spacing w:line="360" w:lineRule="auto"/>
              <w:jc w:val="center"/>
              <w:rPr>
                <w:rFonts w:ascii="仿宋" w:hAnsi="仿宋"/>
                <w:color w:val="000000" w:themeColor="text1"/>
                <w:highlight w:val="none"/>
                <w14:textFill>
                  <w14:solidFill>
                    <w14:schemeClr w14:val="tx1"/>
                  </w14:solidFill>
                </w14:textFill>
              </w:rPr>
            </w:pPr>
            <w:r>
              <w:rPr>
                <w:rFonts w:hint="eastAsia" w:ascii="仿宋" w:hAnsi="仿宋" w:cstheme="minorBidi"/>
                <w:color w:val="000000" w:themeColor="text1"/>
                <w:sz w:val="21"/>
                <w:highlight w:val="none"/>
                <w:lang w:bidi="ar"/>
                <w14:textFill>
                  <w14:solidFill>
                    <w14:schemeClr w14:val="tx1"/>
                  </w14:solidFill>
                </w14:textFill>
              </w:rPr>
              <w:t>发票类型</w:t>
            </w:r>
          </w:p>
        </w:tc>
        <w:tc>
          <w:tcPr>
            <w:tcW w:w="559" w:type="dxa"/>
            <w:vAlign w:val="center"/>
          </w:tcPr>
          <w:p w14:paraId="3141A1CA">
            <w:pPr>
              <w:spacing w:line="360" w:lineRule="auto"/>
              <w:jc w:val="center"/>
              <w:rPr>
                <w:rFonts w:ascii="仿宋" w:hAnsi="仿宋"/>
                <w:color w:val="000000" w:themeColor="text1"/>
                <w:highlight w:val="none"/>
                <w:lang w:bidi="ar"/>
                <w14:textFill>
                  <w14:solidFill>
                    <w14:schemeClr w14:val="tx1"/>
                  </w14:solidFill>
                </w14:textFill>
              </w:rPr>
            </w:pPr>
            <w:r>
              <w:rPr>
                <w:rFonts w:hint="eastAsia" w:ascii="仿宋" w:hAnsi="仿宋"/>
                <w:color w:val="000000" w:themeColor="text1"/>
                <w:highlight w:val="none"/>
                <w14:textFill>
                  <w14:solidFill>
                    <w14:schemeClr w14:val="tx1"/>
                  </w14:solidFill>
                </w14:textFill>
              </w:rPr>
              <w:t>备注</w:t>
            </w:r>
          </w:p>
        </w:tc>
      </w:tr>
      <w:tr w14:paraId="2B1CB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14" w:type="dxa"/>
            <w:vMerge w:val="restart"/>
            <w:vAlign w:val="center"/>
          </w:tcPr>
          <w:p w14:paraId="2988EB8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中国银行海东分行、格尔木分行家具采购项目</w:t>
            </w:r>
          </w:p>
        </w:tc>
        <w:tc>
          <w:tcPr>
            <w:tcW w:w="718" w:type="dxa"/>
            <w:gridSpan w:val="2"/>
            <w:vMerge w:val="restart"/>
            <w:vAlign w:val="center"/>
          </w:tcPr>
          <w:p w14:paraId="1B11A06F">
            <w:pPr>
              <w:spacing w:line="360" w:lineRule="auto"/>
              <w:jc w:val="center"/>
              <w:rPr>
                <w:rFonts w:hint="eastAsia" w:ascii="仿宋" w:hAnsi="仿宋" w:cs="Times New Roman"/>
                <w:color w:val="000000" w:themeColor="text1"/>
                <w:highlight w:val="none"/>
                <w:lang w:val="en-US" w:eastAsia="zh-CN"/>
                <w14:textFill>
                  <w14:solidFill>
                    <w14:schemeClr w14:val="tx1"/>
                  </w14:solidFill>
                </w14:textFill>
              </w:rPr>
            </w:pPr>
            <w:r>
              <w:rPr>
                <w:rFonts w:hint="eastAsia" w:ascii="仿宋" w:hAnsi="仿宋" w:cs="Times New Roman"/>
                <w:color w:val="000000" w:themeColor="text1"/>
                <w:highlight w:val="none"/>
                <w:lang w:val="en-US" w:eastAsia="zh-CN"/>
                <w14:textFill>
                  <w14:solidFill>
                    <w14:schemeClr w14:val="tx1"/>
                  </w14:solidFill>
                </w14:textFill>
              </w:rPr>
              <w:t>格尔木分行</w:t>
            </w:r>
          </w:p>
        </w:tc>
        <w:tc>
          <w:tcPr>
            <w:tcW w:w="833" w:type="dxa"/>
            <w:vAlign w:val="center"/>
          </w:tcPr>
          <w:p w14:paraId="2FCA8D63">
            <w:pPr>
              <w:spacing w:line="360" w:lineRule="auto"/>
              <w:jc w:val="center"/>
              <w:rPr>
                <w:rFonts w:hint="eastAsia" w:ascii="仿宋" w:hAnsi="仿宋" w:cs="Times New Roman"/>
                <w:color w:val="000000" w:themeColor="text1"/>
                <w:highlight w:val="none"/>
                <w:lang w:val="en-US" w:eastAsia="zh-CN"/>
                <w14:textFill>
                  <w14:solidFill>
                    <w14:schemeClr w14:val="tx1"/>
                  </w14:solidFill>
                </w14:textFill>
              </w:rPr>
            </w:pPr>
            <w:r>
              <w:rPr>
                <w:rFonts w:hint="eastAsia" w:ascii="仿宋" w:hAnsi="仿宋" w:cs="Times New Roman"/>
                <w:color w:val="000000" w:themeColor="text1"/>
                <w:highlight w:val="none"/>
                <w:lang w:val="en-US" w:eastAsia="zh-CN"/>
                <w14:textFill>
                  <w14:solidFill>
                    <w14:schemeClr w14:val="tx1"/>
                  </w14:solidFill>
                </w14:textFill>
              </w:rPr>
              <w:t>办公家具</w:t>
            </w:r>
          </w:p>
        </w:tc>
        <w:tc>
          <w:tcPr>
            <w:tcW w:w="1000" w:type="dxa"/>
            <w:vAlign w:val="center"/>
          </w:tcPr>
          <w:p w14:paraId="3430ACDB">
            <w:pPr>
              <w:rPr>
                <w:color w:val="000000" w:themeColor="text1"/>
                <w:highlight w:val="none"/>
                <w14:textFill>
                  <w14:solidFill>
                    <w14:schemeClr w14:val="tx1"/>
                  </w14:solidFill>
                </w14:textFill>
              </w:rPr>
            </w:pPr>
          </w:p>
        </w:tc>
        <w:tc>
          <w:tcPr>
            <w:tcW w:w="1183" w:type="dxa"/>
            <w:vAlign w:val="center"/>
          </w:tcPr>
          <w:p w14:paraId="004F42B6">
            <w:pPr>
              <w:rPr>
                <w:color w:val="000000" w:themeColor="text1"/>
                <w:highlight w:val="none"/>
                <w14:textFill>
                  <w14:solidFill>
                    <w14:schemeClr w14:val="tx1"/>
                  </w14:solidFill>
                </w14:textFill>
              </w:rPr>
            </w:pPr>
          </w:p>
        </w:tc>
        <w:tc>
          <w:tcPr>
            <w:tcW w:w="1255" w:type="dxa"/>
            <w:vAlign w:val="center"/>
          </w:tcPr>
          <w:p w14:paraId="3258D5D9">
            <w:pPr>
              <w:rPr>
                <w:color w:val="000000" w:themeColor="text1"/>
                <w:highlight w:val="none"/>
                <w14:textFill>
                  <w14:solidFill>
                    <w14:schemeClr w14:val="tx1"/>
                  </w14:solidFill>
                </w14:textFill>
              </w:rPr>
            </w:pPr>
          </w:p>
        </w:tc>
        <w:tc>
          <w:tcPr>
            <w:tcW w:w="906" w:type="dxa"/>
            <w:vAlign w:val="center"/>
          </w:tcPr>
          <w:p w14:paraId="1A958904">
            <w:pPr>
              <w:rPr>
                <w:color w:val="000000" w:themeColor="text1"/>
                <w:highlight w:val="none"/>
                <w14:textFill>
                  <w14:solidFill>
                    <w14:schemeClr w14:val="tx1"/>
                  </w14:solidFill>
                </w14:textFill>
              </w:rPr>
            </w:pPr>
          </w:p>
        </w:tc>
        <w:tc>
          <w:tcPr>
            <w:tcW w:w="850" w:type="dxa"/>
            <w:vAlign w:val="center"/>
          </w:tcPr>
          <w:p w14:paraId="6E5AA108">
            <w:pPr>
              <w:rPr>
                <w:color w:val="000000" w:themeColor="text1"/>
                <w:highlight w:val="none"/>
                <w14:textFill>
                  <w14:solidFill>
                    <w14:schemeClr w14:val="tx1"/>
                  </w14:solidFill>
                </w14:textFill>
              </w:rPr>
            </w:pPr>
          </w:p>
        </w:tc>
        <w:tc>
          <w:tcPr>
            <w:tcW w:w="559" w:type="dxa"/>
            <w:vAlign w:val="center"/>
          </w:tcPr>
          <w:p w14:paraId="0386455E">
            <w:pPr>
              <w:rPr>
                <w:color w:val="000000" w:themeColor="text1"/>
                <w:highlight w:val="none"/>
                <w14:textFill>
                  <w14:solidFill>
                    <w14:schemeClr w14:val="tx1"/>
                  </w14:solidFill>
                </w14:textFill>
              </w:rPr>
            </w:pPr>
          </w:p>
        </w:tc>
      </w:tr>
      <w:tr w14:paraId="5D593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14" w:type="dxa"/>
            <w:vMerge w:val="continue"/>
            <w:vAlign w:val="center"/>
          </w:tcPr>
          <w:p w14:paraId="571A41F5">
            <w:pPr>
              <w:rPr>
                <w:rFonts w:hint="eastAsia"/>
                <w:color w:val="000000" w:themeColor="text1"/>
                <w:highlight w:val="none"/>
                <w14:textFill>
                  <w14:solidFill>
                    <w14:schemeClr w14:val="tx1"/>
                  </w14:solidFill>
                </w14:textFill>
              </w:rPr>
            </w:pPr>
          </w:p>
        </w:tc>
        <w:tc>
          <w:tcPr>
            <w:tcW w:w="718" w:type="dxa"/>
            <w:gridSpan w:val="2"/>
            <w:vMerge w:val="continue"/>
            <w:vAlign w:val="center"/>
          </w:tcPr>
          <w:p w14:paraId="51C9A027">
            <w:pPr>
              <w:spacing w:line="360" w:lineRule="auto"/>
              <w:jc w:val="center"/>
              <w:rPr>
                <w:rFonts w:hint="eastAsia" w:ascii="仿宋" w:hAnsi="仿宋" w:cs="Times New Roman"/>
                <w:color w:val="000000" w:themeColor="text1"/>
                <w:highlight w:val="none"/>
                <w:lang w:val="en-US" w:eastAsia="zh-CN"/>
                <w14:textFill>
                  <w14:solidFill>
                    <w14:schemeClr w14:val="tx1"/>
                  </w14:solidFill>
                </w14:textFill>
              </w:rPr>
            </w:pPr>
          </w:p>
        </w:tc>
        <w:tc>
          <w:tcPr>
            <w:tcW w:w="833" w:type="dxa"/>
            <w:vAlign w:val="center"/>
          </w:tcPr>
          <w:p w14:paraId="231041EE">
            <w:pPr>
              <w:spacing w:line="360" w:lineRule="auto"/>
              <w:jc w:val="center"/>
              <w:rPr>
                <w:rFonts w:hint="eastAsia" w:ascii="仿宋" w:hAnsi="仿宋" w:cs="Times New Roman"/>
                <w:color w:val="000000" w:themeColor="text1"/>
                <w:highlight w:val="none"/>
                <w:lang w:val="en-US" w:eastAsia="zh-CN"/>
                <w14:textFill>
                  <w14:solidFill>
                    <w14:schemeClr w14:val="tx1"/>
                  </w14:solidFill>
                </w14:textFill>
              </w:rPr>
            </w:pPr>
            <w:r>
              <w:rPr>
                <w:rFonts w:hint="eastAsia" w:ascii="仿宋" w:hAnsi="仿宋" w:cs="Times New Roman"/>
                <w:color w:val="000000" w:themeColor="text1"/>
                <w:highlight w:val="none"/>
                <w:lang w:val="en-US" w:eastAsia="zh-CN"/>
                <w14:textFill>
                  <w14:solidFill>
                    <w14:schemeClr w14:val="tx1"/>
                  </w14:solidFill>
                </w14:textFill>
              </w:rPr>
              <w:t>宿舍家具</w:t>
            </w:r>
          </w:p>
        </w:tc>
        <w:tc>
          <w:tcPr>
            <w:tcW w:w="1000" w:type="dxa"/>
            <w:vAlign w:val="center"/>
          </w:tcPr>
          <w:p w14:paraId="3C1D46BF">
            <w:pPr>
              <w:rPr>
                <w:color w:val="000000" w:themeColor="text1"/>
                <w:highlight w:val="none"/>
                <w14:textFill>
                  <w14:solidFill>
                    <w14:schemeClr w14:val="tx1"/>
                  </w14:solidFill>
                </w14:textFill>
              </w:rPr>
            </w:pPr>
          </w:p>
        </w:tc>
        <w:tc>
          <w:tcPr>
            <w:tcW w:w="1183" w:type="dxa"/>
            <w:vAlign w:val="center"/>
          </w:tcPr>
          <w:p w14:paraId="026CE29E">
            <w:pPr>
              <w:rPr>
                <w:color w:val="000000" w:themeColor="text1"/>
                <w:highlight w:val="none"/>
                <w14:textFill>
                  <w14:solidFill>
                    <w14:schemeClr w14:val="tx1"/>
                  </w14:solidFill>
                </w14:textFill>
              </w:rPr>
            </w:pPr>
          </w:p>
        </w:tc>
        <w:tc>
          <w:tcPr>
            <w:tcW w:w="1255" w:type="dxa"/>
            <w:vAlign w:val="center"/>
          </w:tcPr>
          <w:p w14:paraId="15FC7AD2">
            <w:pPr>
              <w:rPr>
                <w:color w:val="000000" w:themeColor="text1"/>
                <w:highlight w:val="none"/>
                <w14:textFill>
                  <w14:solidFill>
                    <w14:schemeClr w14:val="tx1"/>
                  </w14:solidFill>
                </w14:textFill>
              </w:rPr>
            </w:pPr>
          </w:p>
        </w:tc>
        <w:tc>
          <w:tcPr>
            <w:tcW w:w="906" w:type="dxa"/>
            <w:vAlign w:val="center"/>
          </w:tcPr>
          <w:p w14:paraId="26E7353C">
            <w:pPr>
              <w:rPr>
                <w:color w:val="000000" w:themeColor="text1"/>
                <w:highlight w:val="none"/>
                <w14:textFill>
                  <w14:solidFill>
                    <w14:schemeClr w14:val="tx1"/>
                  </w14:solidFill>
                </w14:textFill>
              </w:rPr>
            </w:pPr>
          </w:p>
        </w:tc>
        <w:tc>
          <w:tcPr>
            <w:tcW w:w="850" w:type="dxa"/>
            <w:vAlign w:val="center"/>
          </w:tcPr>
          <w:p w14:paraId="4BC3AC22">
            <w:pPr>
              <w:rPr>
                <w:color w:val="000000" w:themeColor="text1"/>
                <w:highlight w:val="none"/>
                <w14:textFill>
                  <w14:solidFill>
                    <w14:schemeClr w14:val="tx1"/>
                  </w14:solidFill>
                </w14:textFill>
              </w:rPr>
            </w:pPr>
          </w:p>
        </w:tc>
        <w:tc>
          <w:tcPr>
            <w:tcW w:w="559" w:type="dxa"/>
            <w:vAlign w:val="center"/>
          </w:tcPr>
          <w:p w14:paraId="43646EBB">
            <w:pPr>
              <w:rPr>
                <w:color w:val="000000" w:themeColor="text1"/>
                <w:highlight w:val="none"/>
                <w14:textFill>
                  <w14:solidFill>
                    <w14:schemeClr w14:val="tx1"/>
                  </w14:solidFill>
                </w14:textFill>
              </w:rPr>
            </w:pPr>
          </w:p>
        </w:tc>
      </w:tr>
      <w:tr w14:paraId="65CFF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14" w:type="dxa"/>
            <w:vMerge w:val="continue"/>
            <w:vAlign w:val="center"/>
          </w:tcPr>
          <w:p w14:paraId="3C6BE777">
            <w:pPr>
              <w:rPr>
                <w:rFonts w:hint="eastAsia"/>
                <w:color w:val="000000" w:themeColor="text1"/>
                <w:highlight w:val="none"/>
                <w14:textFill>
                  <w14:solidFill>
                    <w14:schemeClr w14:val="tx1"/>
                  </w14:solidFill>
                </w14:textFill>
              </w:rPr>
            </w:pPr>
          </w:p>
        </w:tc>
        <w:tc>
          <w:tcPr>
            <w:tcW w:w="718" w:type="dxa"/>
            <w:gridSpan w:val="2"/>
            <w:vAlign w:val="center"/>
          </w:tcPr>
          <w:p w14:paraId="49635CEF">
            <w:pPr>
              <w:spacing w:line="360" w:lineRule="auto"/>
              <w:jc w:val="center"/>
              <w:rPr>
                <w:rFonts w:hint="eastAsia" w:ascii="仿宋" w:hAnsi="仿宋" w:cs="Times New Roman"/>
                <w:color w:val="000000" w:themeColor="text1"/>
                <w:highlight w:val="none"/>
                <w:lang w:val="en-US" w:eastAsia="zh-CN"/>
                <w14:textFill>
                  <w14:solidFill>
                    <w14:schemeClr w14:val="tx1"/>
                  </w14:solidFill>
                </w14:textFill>
              </w:rPr>
            </w:pPr>
            <w:r>
              <w:rPr>
                <w:rFonts w:hint="eastAsia" w:ascii="仿宋" w:hAnsi="仿宋" w:cs="Times New Roman"/>
                <w:color w:val="000000" w:themeColor="text1"/>
                <w:highlight w:val="none"/>
                <w:lang w:val="en-US" w:eastAsia="zh-CN"/>
                <w14:textFill>
                  <w14:solidFill>
                    <w14:schemeClr w14:val="tx1"/>
                  </w14:solidFill>
                </w14:textFill>
              </w:rPr>
              <w:t>海东分行</w:t>
            </w:r>
          </w:p>
        </w:tc>
        <w:tc>
          <w:tcPr>
            <w:tcW w:w="833" w:type="dxa"/>
            <w:vAlign w:val="center"/>
          </w:tcPr>
          <w:p w14:paraId="1966EE1B">
            <w:pPr>
              <w:spacing w:line="360" w:lineRule="auto"/>
              <w:jc w:val="center"/>
              <w:rPr>
                <w:rFonts w:hint="eastAsia" w:ascii="仿宋" w:hAnsi="仿宋" w:cs="Times New Roman"/>
                <w:color w:val="000000" w:themeColor="text1"/>
                <w:highlight w:val="none"/>
                <w:lang w:val="en-US" w:eastAsia="zh-CN"/>
                <w14:textFill>
                  <w14:solidFill>
                    <w14:schemeClr w14:val="tx1"/>
                  </w14:solidFill>
                </w14:textFill>
              </w:rPr>
            </w:pPr>
            <w:r>
              <w:rPr>
                <w:rFonts w:hint="eastAsia" w:ascii="仿宋" w:hAnsi="仿宋" w:cs="Times New Roman"/>
                <w:color w:val="000000" w:themeColor="text1"/>
                <w:highlight w:val="none"/>
                <w:lang w:val="en-US" w:eastAsia="zh-CN"/>
                <w14:textFill>
                  <w14:solidFill>
                    <w14:schemeClr w14:val="tx1"/>
                  </w14:solidFill>
                </w14:textFill>
              </w:rPr>
              <w:t>宿舍家具</w:t>
            </w:r>
          </w:p>
        </w:tc>
        <w:tc>
          <w:tcPr>
            <w:tcW w:w="1000" w:type="dxa"/>
            <w:vAlign w:val="center"/>
          </w:tcPr>
          <w:p w14:paraId="1D691449">
            <w:pPr>
              <w:rPr>
                <w:color w:val="000000" w:themeColor="text1"/>
                <w:highlight w:val="none"/>
                <w14:textFill>
                  <w14:solidFill>
                    <w14:schemeClr w14:val="tx1"/>
                  </w14:solidFill>
                </w14:textFill>
              </w:rPr>
            </w:pPr>
          </w:p>
        </w:tc>
        <w:tc>
          <w:tcPr>
            <w:tcW w:w="1183" w:type="dxa"/>
            <w:vAlign w:val="center"/>
          </w:tcPr>
          <w:p w14:paraId="17D723D4">
            <w:pPr>
              <w:rPr>
                <w:color w:val="000000" w:themeColor="text1"/>
                <w:highlight w:val="none"/>
                <w14:textFill>
                  <w14:solidFill>
                    <w14:schemeClr w14:val="tx1"/>
                  </w14:solidFill>
                </w14:textFill>
              </w:rPr>
            </w:pPr>
          </w:p>
        </w:tc>
        <w:tc>
          <w:tcPr>
            <w:tcW w:w="1255" w:type="dxa"/>
            <w:vAlign w:val="center"/>
          </w:tcPr>
          <w:p w14:paraId="7714F816">
            <w:pPr>
              <w:rPr>
                <w:color w:val="000000" w:themeColor="text1"/>
                <w:highlight w:val="none"/>
                <w14:textFill>
                  <w14:solidFill>
                    <w14:schemeClr w14:val="tx1"/>
                  </w14:solidFill>
                </w14:textFill>
              </w:rPr>
            </w:pPr>
          </w:p>
        </w:tc>
        <w:tc>
          <w:tcPr>
            <w:tcW w:w="906" w:type="dxa"/>
            <w:vAlign w:val="center"/>
          </w:tcPr>
          <w:p w14:paraId="272B8F22">
            <w:pPr>
              <w:rPr>
                <w:color w:val="000000" w:themeColor="text1"/>
                <w:highlight w:val="none"/>
                <w14:textFill>
                  <w14:solidFill>
                    <w14:schemeClr w14:val="tx1"/>
                  </w14:solidFill>
                </w14:textFill>
              </w:rPr>
            </w:pPr>
          </w:p>
        </w:tc>
        <w:tc>
          <w:tcPr>
            <w:tcW w:w="850" w:type="dxa"/>
            <w:vAlign w:val="center"/>
          </w:tcPr>
          <w:p w14:paraId="5C18F1B7">
            <w:pPr>
              <w:rPr>
                <w:color w:val="000000" w:themeColor="text1"/>
                <w:highlight w:val="none"/>
                <w14:textFill>
                  <w14:solidFill>
                    <w14:schemeClr w14:val="tx1"/>
                  </w14:solidFill>
                </w14:textFill>
              </w:rPr>
            </w:pPr>
          </w:p>
        </w:tc>
        <w:tc>
          <w:tcPr>
            <w:tcW w:w="559" w:type="dxa"/>
            <w:vAlign w:val="center"/>
          </w:tcPr>
          <w:p w14:paraId="79AAE757">
            <w:pPr>
              <w:rPr>
                <w:color w:val="000000" w:themeColor="text1"/>
                <w:highlight w:val="none"/>
                <w14:textFill>
                  <w14:solidFill>
                    <w14:schemeClr w14:val="tx1"/>
                  </w14:solidFill>
                </w14:textFill>
              </w:rPr>
            </w:pPr>
          </w:p>
        </w:tc>
      </w:tr>
      <w:tr w14:paraId="7C47A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748" w:type="dxa"/>
            <w:gridSpan w:val="2"/>
            <w:vAlign w:val="center"/>
          </w:tcPr>
          <w:p w14:paraId="6DFE7C6A">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投标总价（元）</w:t>
            </w:r>
          </w:p>
        </w:tc>
        <w:tc>
          <w:tcPr>
            <w:tcW w:w="6770" w:type="dxa"/>
            <w:gridSpan w:val="8"/>
            <w:vAlign w:val="center"/>
          </w:tcPr>
          <w:p w14:paraId="5FB66C61">
            <w:pPr>
              <w:rPr>
                <w:rFonts w:hint="eastAsia"/>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不含税投标总价（元）：</w:t>
            </w:r>
            <w:r>
              <w:rPr>
                <w:rFonts w:hint="eastAsia"/>
                <w:color w:val="000000" w:themeColor="text1"/>
                <w:highlight w:val="none"/>
                <w:u w:val="single"/>
                <w:lang w:val="en-US" w:eastAsia="zh-CN"/>
                <w14:textFill>
                  <w14:solidFill>
                    <w14:schemeClr w14:val="tx1"/>
                  </w14:solidFill>
                </w14:textFill>
              </w:rPr>
              <w:t xml:space="preserve">           （大写：           ）</w:t>
            </w:r>
          </w:p>
          <w:p w14:paraId="0A90EDA0">
            <w:pPr>
              <w:pStyle w:val="2"/>
              <w:rPr>
                <w:rFonts w:hint="default"/>
                <w:color w:val="000000" w:themeColor="text1"/>
                <w:highlight w:val="none"/>
                <w:u w:val="singl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含税</w:t>
            </w:r>
            <w:r>
              <w:rPr>
                <w:rFonts w:hint="eastAsia"/>
                <w:color w:val="000000" w:themeColor="text1"/>
                <w:highlight w:val="none"/>
                <w:lang w:val="en-US" w:eastAsia="zh-CN"/>
                <w14:textFill>
                  <w14:solidFill>
                    <w14:schemeClr w14:val="tx1"/>
                  </w14:solidFill>
                </w14:textFill>
              </w:rPr>
              <w:t>投标</w:t>
            </w:r>
            <w:r>
              <w:rPr>
                <w:rFonts w:hint="default"/>
                <w:color w:val="000000" w:themeColor="text1"/>
                <w:highlight w:val="none"/>
                <w:lang w:val="en-US" w:eastAsia="zh-CN"/>
                <w14:textFill>
                  <w14:solidFill>
                    <w14:schemeClr w14:val="tx1"/>
                  </w14:solidFill>
                </w14:textFill>
              </w:rPr>
              <w:t>总价（元）</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 xml:space="preserve">             （大写：           ）</w:t>
            </w:r>
          </w:p>
        </w:tc>
      </w:tr>
    </w:tbl>
    <w:p w14:paraId="55EA3493">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w:t>
      </w:r>
    </w:p>
    <w:p w14:paraId="57E1985E">
      <w:pPr>
        <w:numPr>
          <w:ilvl w:val="0"/>
          <w:numId w:val="56"/>
        </w:numPr>
        <w:spacing w:line="360" w:lineRule="auto"/>
        <w:rPr>
          <w:rFonts w:ascii="仿宋" w:hAnsi="仿宋" w:cs="仿宋"/>
          <w:b/>
          <w:bCs/>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开标一览表除了在投标文件中提供外，还须</w:t>
      </w:r>
      <w:r>
        <w:rPr>
          <w:rFonts w:hint="eastAsia" w:ascii="仿宋" w:hAnsi="仿宋" w:cs="仿宋"/>
          <w:b/>
          <w:bCs/>
          <w:color w:val="000000" w:themeColor="text1"/>
          <w:highlight w:val="none"/>
          <w14:textFill>
            <w14:solidFill>
              <w14:schemeClr w14:val="tx1"/>
            </w14:solidFill>
          </w14:textFill>
        </w:rPr>
        <w:t>另外单独封装一份</w:t>
      </w:r>
      <w:r>
        <w:rPr>
          <w:rFonts w:hint="eastAsia" w:ascii="仿宋" w:hAnsi="仿宋" w:cs="仿宋"/>
          <w:b/>
          <w:bCs/>
          <w:color w:val="000000" w:themeColor="text1"/>
          <w:highlight w:val="none"/>
          <w:lang w:eastAsia="zh-Hans"/>
          <w14:textFill>
            <w14:solidFill>
              <w14:schemeClr w14:val="tx1"/>
            </w14:solidFill>
          </w14:textFill>
        </w:rPr>
        <w:t>，与投标文件同时递交</w:t>
      </w:r>
      <w:r>
        <w:rPr>
          <w:rFonts w:hint="eastAsia" w:ascii="仿宋" w:hAnsi="仿宋" w:cs="仿宋"/>
          <w:b/>
          <w:bCs/>
          <w:color w:val="000000" w:themeColor="text1"/>
          <w:highlight w:val="none"/>
          <w14:textFill>
            <w14:solidFill>
              <w14:schemeClr w14:val="tx1"/>
            </w14:solidFill>
          </w14:textFill>
        </w:rPr>
        <w:t>。</w:t>
      </w:r>
    </w:p>
    <w:p w14:paraId="58493803">
      <w:pPr>
        <w:numPr>
          <w:ilvl w:val="0"/>
          <w:numId w:val="56"/>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投标人在报价时应充分考虑不确定性因素所引起的费用。</w:t>
      </w:r>
    </w:p>
    <w:p w14:paraId="3AC6BCAD">
      <w:pPr>
        <w:numPr>
          <w:ilvl w:val="0"/>
          <w:numId w:val="56"/>
        </w:numPr>
        <w:spacing w:line="360" w:lineRule="auto"/>
        <w:rPr>
          <w:rFonts w:ascii="仿宋" w:hAnsi="仿宋" w:cs="仿宋"/>
          <w:b/>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除有特殊说明外，以上“税”均指增值税</w:t>
      </w:r>
      <w:r>
        <w:rPr>
          <w:rFonts w:hint="eastAsia" w:ascii="仿宋" w:hAnsi="仿宋" w:cs="仿宋"/>
          <w:color w:val="000000" w:themeColor="text1"/>
          <w:highlight w:val="none"/>
          <w:lang w:eastAsia="zh-Hans"/>
          <w14:textFill>
            <w14:solidFill>
              <w14:schemeClr w14:val="tx1"/>
            </w14:solidFill>
          </w14:textFill>
        </w:rPr>
        <w:t>，“元”均指人民币元</w:t>
      </w:r>
      <w:r>
        <w:rPr>
          <w:rFonts w:hint="eastAsia" w:ascii="仿宋" w:hAnsi="仿宋" w:cs="仿宋"/>
          <w:color w:val="000000" w:themeColor="text1"/>
          <w:highlight w:val="none"/>
          <w14:textFill>
            <w14:solidFill>
              <w14:schemeClr w14:val="tx1"/>
            </w14:solidFill>
          </w14:textFill>
        </w:rPr>
        <w:t>。</w:t>
      </w:r>
    </w:p>
    <w:p w14:paraId="634E4107">
      <w:pPr>
        <w:numPr>
          <w:ilvl w:val="0"/>
          <w:numId w:val="56"/>
        </w:numPr>
        <w:spacing w:line="360" w:lineRule="auto"/>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建议不含税价取整，含税价通过不含税价、税率正推计算，即不含税价×（1+税率）=含税价，保留小数点后两位。因不含税价、增值税率、含税价不一致导致的后果，由投标人自行承担责任。</w:t>
      </w:r>
    </w:p>
    <w:p w14:paraId="4EAB6A5F">
      <w:pPr>
        <w:numPr>
          <w:ilvl w:val="0"/>
          <w:numId w:val="56"/>
        </w:numPr>
        <w:spacing w:line="360" w:lineRule="auto"/>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如不含税价、所报税率计算结果与含税价不一致，以不含税价和所报税率为准调整含税价格。</w:t>
      </w:r>
    </w:p>
    <w:p w14:paraId="3CB345E9">
      <w:pPr>
        <w:numPr>
          <w:ilvl w:val="0"/>
          <w:numId w:val="56"/>
        </w:numPr>
        <w:spacing w:line="360" w:lineRule="auto"/>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【税率备注】：填写税率，如有不同税率，请分别说明不含税总价</w:t>
      </w:r>
      <w:r>
        <w:rPr>
          <w:rFonts w:ascii="仿宋" w:hAnsi="仿宋" w:cs="仿宋"/>
          <w:b/>
          <w:color w:val="000000" w:themeColor="text1"/>
          <w:highlight w:val="none"/>
          <w14:textFill>
            <w14:solidFill>
              <w14:schemeClr w14:val="tx1"/>
            </w14:solidFill>
          </w14:textFill>
        </w:rPr>
        <w:t>xx部分的增值税税率为x%，</w:t>
      </w:r>
      <w:r>
        <w:rPr>
          <w:rFonts w:hint="eastAsia" w:ascii="仿宋" w:hAnsi="仿宋" w:cs="仿宋"/>
          <w:b/>
          <w:color w:val="000000" w:themeColor="text1"/>
          <w:highlight w:val="none"/>
          <w14:textFill>
            <w14:solidFill>
              <w14:schemeClr w14:val="tx1"/>
            </w14:solidFill>
          </w14:textFill>
        </w:rPr>
        <w:t>不含税总价</w:t>
      </w:r>
      <w:r>
        <w:rPr>
          <w:rFonts w:ascii="仿宋" w:hAnsi="仿宋" w:cs="仿宋"/>
          <w:b/>
          <w:color w:val="000000" w:themeColor="text1"/>
          <w:highlight w:val="none"/>
          <w14:textFill>
            <w14:solidFill>
              <w14:schemeClr w14:val="tx1"/>
            </w14:solidFill>
          </w14:textFill>
        </w:rPr>
        <w:t>xx部分的增值税税率为y%”</w:t>
      </w:r>
      <w:r>
        <w:rPr>
          <w:rFonts w:hint="eastAsia" w:ascii="仿宋" w:hAnsi="仿宋" w:cs="仿宋"/>
          <w:b/>
          <w:color w:val="000000" w:themeColor="text1"/>
          <w:highlight w:val="none"/>
          <w14:textFill>
            <w14:solidFill>
              <w14:schemeClr w14:val="tx1"/>
            </w14:solidFill>
          </w14:textFill>
        </w:rPr>
        <w:t>；【发票类型】：填写增值税专用发票或者增值税普通发票。</w:t>
      </w:r>
    </w:p>
    <w:p w14:paraId="63121ADB">
      <w:pPr>
        <w:pStyle w:val="27"/>
        <w:spacing w:line="360" w:lineRule="auto"/>
        <w:rPr>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7.投标人需同时通过投标客户端填写结构化的开标一览表。投标人电子投标文件中的开标一览表和结构化数据生成的开标一览表应保持一致，不一致的情况下，以结构化数据生成的开标一览表为准。转线下谈判、评审时，开标一览表以纸质版投标文件为准。</w:t>
      </w:r>
    </w:p>
    <w:p w14:paraId="1CD95CA5">
      <w:pPr>
        <w:pStyle w:val="27"/>
        <w:rPr>
          <w:rFonts w:ascii="仿宋" w:hAnsi="仿宋" w:cs="仿宋"/>
          <w:color w:val="000000" w:themeColor="text1"/>
          <w:highlight w:val="none"/>
          <w14:textFill>
            <w14:solidFill>
              <w14:schemeClr w14:val="tx1"/>
            </w14:solidFill>
          </w14:textFill>
        </w:rPr>
      </w:pPr>
    </w:p>
    <w:p w14:paraId="30C37A9C">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74AD5C53">
      <w:pPr>
        <w:rPr>
          <w:rFonts w:ascii="仿宋" w:hAnsi="仿宋" w:cs="仿宋"/>
          <w:color w:val="000000" w:themeColor="text1"/>
          <w:highlight w:val="none"/>
          <w:u w:val="singl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highlight w:val="none"/>
          <w14:textFill>
            <w14:solidFill>
              <w14:schemeClr w14:val="tx1"/>
            </w14:solidFill>
          </w14:textFill>
        </w:rPr>
        <w:t>投标人授权代表签字：</w:t>
      </w:r>
      <w:r>
        <w:rPr>
          <w:rFonts w:hint="eastAsia" w:ascii="仿宋" w:hAnsi="仿宋" w:cs="仿宋"/>
          <w:color w:val="000000" w:themeColor="text1"/>
          <w:highlight w:val="none"/>
          <w:u w:val="single"/>
          <w14:textFill>
            <w14:solidFill>
              <w14:schemeClr w14:val="tx1"/>
            </w14:solidFill>
          </w14:textFill>
        </w:rPr>
        <w:t xml:space="preserve">                       </w:t>
      </w:r>
    </w:p>
    <w:p w14:paraId="31ED26BF">
      <w:pPr>
        <w:pStyle w:val="4"/>
        <w:rPr>
          <w:rStyle w:val="62"/>
          <w:rFonts w:ascii="仿宋" w:hAnsi="仿宋" w:eastAsia="仿宋" w:cs="仿宋"/>
          <w:b/>
          <w:bCs/>
          <w:color w:val="000000" w:themeColor="text1"/>
          <w:sz w:val="24"/>
          <w:szCs w:val="24"/>
          <w:highlight w:val="none"/>
          <w14:textFill>
            <w14:solidFill>
              <w14:schemeClr w14:val="tx1"/>
            </w14:solidFill>
          </w14:textFill>
        </w:rPr>
      </w:pPr>
      <w:bookmarkStart w:id="338" w:name="_Toc10142"/>
      <w:bookmarkStart w:id="339" w:name="_Toc149230422"/>
      <w:bookmarkStart w:id="340" w:name="_Toc108796168"/>
      <w:bookmarkStart w:id="341" w:name="_Toc150933641"/>
      <w:bookmarkStart w:id="342" w:name="_Toc748"/>
      <w:bookmarkStart w:id="343" w:name="_Toc5155"/>
      <w:bookmarkStart w:id="344" w:name="_Toc6408"/>
      <w:bookmarkStart w:id="345" w:name="_Toc24945"/>
      <w:bookmarkStart w:id="346" w:name="_Toc8471"/>
      <w:bookmarkStart w:id="347" w:name="_Toc7242"/>
      <w:bookmarkStart w:id="348" w:name="_Toc60071218"/>
      <w:bookmarkStart w:id="349" w:name="_Toc20425"/>
      <w:bookmarkStart w:id="350" w:name="_Toc3160"/>
      <w:bookmarkStart w:id="351" w:name="_Toc20854"/>
      <w:bookmarkStart w:id="352" w:name="_Toc17057"/>
      <w:bookmarkStart w:id="353" w:name="_Toc12985"/>
      <w:r>
        <w:rPr>
          <w:rStyle w:val="62"/>
          <w:rFonts w:hint="eastAsia" w:ascii="仿宋" w:hAnsi="仿宋" w:eastAsia="仿宋" w:cs="仿宋"/>
          <w:b/>
          <w:bCs/>
          <w:color w:val="000000" w:themeColor="text1"/>
          <w:sz w:val="24"/>
          <w:szCs w:val="24"/>
          <w:highlight w:val="none"/>
          <w14:textFill>
            <w14:solidFill>
              <w14:schemeClr w14:val="tx1"/>
            </w14:solidFill>
          </w14:textFill>
        </w:rPr>
        <w:t>附件2-2 结构化分项报价表</w:t>
      </w:r>
      <w:bookmarkEnd w:id="338"/>
    </w:p>
    <w:p w14:paraId="7EBBD9D3">
      <w:pPr>
        <w:pStyle w:val="5"/>
        <w:spacing w:line="360" w:lineRule="auto"/>
        <w:ind w:firstLine="482"/>
        <w:rPr>
          <w:rStyle w:val="62"/>
          <w:rFonts w:ascii="仿宋" w:hAnsi="仿宋" w:eastAsia="仿宋" w:cs="仿宋"/>
          <w:color w:val="000000" w:themeColor="text1"/>
          <w:sz w:val="24"/>
          <w:szCs w:val="24"/>
          <w:highlight w:val="none"/>
          <w14:textFill>
            <w14:solidFill>
              <w14:schemeClr w14:val="tx1"/>
            </w14:solidFill>
          </w14:textFill>
        </w:rPr>
      </w:pPr>
      <w:r>
        <w:rPr>
          <w:rStyle w:val="62"/>
          <w:rFonts w:hint="eastAsia" w:ascii="仿宋" w:hAnsi="仿宋" w:eastAsia="仿宋" w:cs="仿宋"/>
          <w:color w:val="000000" w:themeColor="text1"/>
          <w:sz w:val="24"/>
          <w:szCs w:val="24"/>
          <w:highlight w:val="none"/>
          <w14:textFill>
            <w14:solidFill>
              <w14:schemeClr w14:val="tx1"/>
            </w14:solidFill>
          </w14:textFill>
        </w:rPr>
        <w:t>结构化分项报价表请见投标客户端，请投标人在投标客户端填写。</w:t>
      </w:r>
    </w:p>
    <w:p w14:paraId="572D8E95">
      <w:pPr>
        <w:pStyle w:val="4"/>
        <w:rPr>
          <w:rStyle w:val="62"/>
          <w:rFonts w:ascii="仿宋" w:hAnsi="仿宋" w:eastAsia="仿宋" w:cs="仿宋"/>
          <w:b/>
          <w:bCs/>
          <w:color w:val="000000" w:themeColor="text1"/>
          <w:sz w:val="24"/>
          <w:szCs w:val="24"/>
          <w:highlight w:val="none"/>
          <w14:textFill>
            <w14:solidFill>
              <w14:schemeClr w14:val="tx1"/>
            </w14:solidFill>
          </w14:textFill>
        </w:rPr>
      </w:pPr>
    </w:p>
    <w:p w14:paraId="30D604EB">
      <w:pPr>
        <w:pStyle w:val="4"/>
        <w:rPr>
          <w:rStyle w:val="62"/>
          <w:rFonts w:ascii="仿宋" w:hAnsi="仿宋" w:eastAsia="仿宋" w:cs="仿宋"/>
          <w:b/>
          <w:bCs/>
          <w:color w:val="000000" w:themeColor="text1"/>
          <w:sz w:val="24"/>
          <w:szCs w:val="24"/>
          <w:highlight w:val="none"/>
          <w14:textFill>
            <w14:solidFill>
              <w14:schemeClr w14:val="tx1"/>
            </w14:solidFill>
          </w14:textFill>
        </w:rPr>
      </w:pPr>
    </w:p>
    <w:p w14:paraId="44FE26C3">
      <w:pPr>
        <w:pStyle w:val="4"/>
        <w:rPr>
          <w:rStyle w:val="62"/>
          <w:rFonts w:ascii="仿宋" w:hAnsi="仿宋" w:eastAsia="仿宋" w:cs="仿宋"/>
          <w:b/>
          <w:bCs/>
          <w:color w:val="000000" w:themeColor="text1"/>
          <w:sz w:val="24"/>
          <w:szCs w:val="24"/>
          <w:highlight w:val="none"/>
          <w14:textFill>
            <w14:solidFill>
              <w14:schemeClr w14:val="tx1"/>
            </w14:solidFill>
          </w14:textFill>
        </w:rPr>
      </w:pPr>
    </w:p>
    <w:p w14:paraId="70642946">
      <w:pPr>
        <w:rPr>
          <w:rStyle w:val="62"/>
          <w:rFonts w:hint="eastAsia" w:ascii="仿宋" w:hAnsi="仿宋" w:eastAsia="仿宋" w:cs="仿宋"/>
          <w:b/>
          <w:bCs/>
          <w:color w:val="000000" w:themeColor="text1"/>
          <w:sz w:val="24"/>
          <w:szCs w:val="24"/>
          <w:highlight w:val="none"/>
          <w14:textFill>
            <w14:solidFill>
              <w14:schemeClr w14:val="tx1"/>
            </w14:solidFill>
          </w14:textFill>
        </w:rPr>
      </w:pPr>
      <w:r>
        <w:rPr>
          <w:rStyle w:val="62"/>
          <w:rFonts w:hint="eastAsia" w:ascii="仿宋" w:hAnsi="仿宋" w:eastAsia="仿宋" w:cs="仿宋"/>
          <w:b/>
          <w:bCs/>
          <w:color w:val="000000" w:themeColor="text1"/>
          <w:sz w:val="24"/>
          <w:szCs w:val="24"/>
          <w:highlight w:val="none"/>
          <w14:textFill>
            <w14:solidFill>
              <w14:schemeClr w14:val="tx1"/>
            </w14:solidFill>
          </w14:textFill>
        </w:rPr>
        <w:br w:type="page"/>
      </w:r>
    </w:p>
    <w:bookmarkEnd w:id="339"/>
    <w:bookmarkEnd w:id="340"/>
    <w:bookmarkEnd w:id="341"/>
    <w:p w14:paraId="20BAA090">
      <w:pPr>
        <w:pStyle w:val="4"/>
        <w:rPr>
          <w:rStyle w:val="62"/>
          <w:rFonts w:ascii="仿宋" w:hAnsi="仿宋" w:eastAsia="仿宋" w:cs="仿宋"/>
          <w:b/>
          <w:bCs/>
          <w:color w:val="000000" w:themeColor="text1"/>
          <w:sz w:val="36"/>
          <w:szCs w:val="36"/>
          <w:highlight w:val="none"/>
          <w14:textFill>
            <w14:solidFill>
              <w14:schemeClr w14:val="tx1"/>
            </w14:solidFill>
          </w14:textFill>
        </w:rPr>
      </w:pPr>
      <w:bookmarkStart w:id="354" w:name="_Toc18655"/>
      <w:bookmarkStart w:id="355" w:name="_Toc149230427"/>
      <w:bookmarkStart w:id="356" w:name="_Toc15089"/>
      <w:bookmarkStart w:id="357" w:name="_Toc6279"/>
      <w:bookmarkStart w:id="358" w:name="_Toc7187"/>
      <w:bookmarkStart w:id="359" w:name="_Toc23904"/>
      <w:bookmarkStart w:id="360" w:name="_Toc30756"/>
      <w:bookmarkStart w:id="361" w:name="_Toc20879"/>
      <w:bookmarkStart w:id="362" w:name="_Toc8053"/>
      <w:bookmarkStart w:id="363" w:name="_Toc851148123"/>
      <w:bookmarkStart w:id="364" w:name="_Toc31395"/>
      <w:bookmarkStart w:id="365" w:name="_Toc27877"/>
      <w:bookmarkStart w:id="366" w:name="_Toc150933646"/>
      <w:bookmarkStart w:id="367" w:name="_Toc19184"/>
      <w:bookmarkStart w:id="368" w:name="_Toc108796176"/>
      <w:bookmarkStart w:id="369" w:name="_Toc10784"/>
      <w:bookmarkStart w:id="370" w:name="_Toc108796169"/>
      <w:bookmarkStart w:id="371" w:name="_Toc149230423"/>
      <w:bookmarkStart w:id="372" w:name="_Toc150933642"/>
      <w:r>
        <w:rPr>
          <w:rStyle w:val="62"/>
          <w:rFonts w:hint="eastAsia" w:ascii="仿宋" w:hAnsi="仿宋" w:eastAsia="仿宋" w:cs="仿宋"/>
          <w:b/>
          <w:bCs/>
          <w:color w:val="000000" w:themeColor="text1"/>
          <w:sz w:val="24"/>
          <w:szCs w:val="24"/>
          <w:highlight w:val="none"/>
          <w14:textFill>
            <w14:solidFill>
              <w14:schemeClr w14:val="tx1"/>
            </w14:solidFill>
          </w14:textFill>
        </w:rPr>
        <w:t>附件3 技术需求偏离表</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26E1990">
      <w:pPr>
        <w:spacing w:line="360" w:lineRule="auto"/>
        <w:ind w:left="-1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项目名称：</w:t>
      </w:r>
    </w:p>
    <w:p w14:paraId="7B833F5E">
      <w:pPr>
        <w:spacing w:line="360" w:lineRule="auto"/>
        <w:ind w:left="-1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招标编号：</w:t>
      </w:r>
    </w:p>
    <w:tbl>
      <w:tblPr>
        <w:tblStyle w:val="33"/>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919"/>
        <w:gridCol w:w="2376"/>
        <w:gridCol w:w="1751"/>
      </w:tblGrid>
      <w:tr w14:paraId="703E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14:paraId="20D2488B">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序号</w:t>
            </w:r>
          </w:p>
        </w:tc>
        <w:tc>
          <w:tcPr>
            <w:tcW w:w="2919" w:type="dxa"/>
            <w:tcBorders>
              <w:top w:val="single" w:color="auto" w:sz="4" w:space="0"/>
              <w:left w:val="nil"/>
              <w:bottom w:val="single" w:color="auto" w:sz="4" w:space="0"/>
              <w:right w:val="single" w:color="auto" w:sz="4" w:space="0"/>
            </w:tcBorders>
            <w:vAlign w:val="center"/>
          </w:tcPr>
          <w:p w14:paraId="0FAE3CFB">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招标技术指标要求</w:t>
            </w:r>
          </w:p>
        </w:tc>
        <w:tc>
          <w:tcPr>
            <w:tcW w:w="2376" w:type="dxa"/>
            <w:tcBorders>
              <w:top w:val="single" w:color="auto" w:sz="4" w:space="0"/>
              <w:left w:val="nil"/>
              <w:bottom w:val="single" w:color="auto" w:sz="4" w:space="0"/>
              <w:right w:val="single" w:color="auto" w:sz="4" w:space="0"/>
            </w:tcBorders>
            <w:vAlign w:val="center"/>
          </w:tcPr>
          <w:p w14:paraId="613660A2">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投标技术指标情况</w:t>
            </w:r>
          </w:p>
        </w:tc>
        <w:tc>
          <w:tcPr>
            <w:tcW w:w="1751" w:type="dxa"/>
            <w:tcBorders>
              <w:top w:val="single" w:color="auto" w:sz="4" w:space="0"/>
              <w:left w:val="nil"/>
              <w:bottom w:val="single" w:color="auto" w:sz="4" w:space="0"/>
              <w:right w:val="single" w:color="auto" w:sz="4" w:space="0"/>
            </w:tcBorders>
            <w:vAlign w:val="center"/>
          </w:tcPr>
          <w:p w14:paraId="113F61B8">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具体说明</w:t>
            </w:r>
          </w:p>
        </w:tc>
      </w:tr>
      <w:tr w14:paraId="61B9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7" w:type="dxa"/>
            <w:tcBorders>
              <w:top w:val="single" w:color="auto" w:sz="4" w:space="0"/>
              <w:left w:val="single" w:color="auto" w:sz="4" w:space="0"/>
              <w:bottom w:val="single" w:color="auto" w:sz="4" w:space="0"/>
              <w:right w:val="single" w:color="auto" w:sz="4" w:space="0"/>
            </w:tcBorders>
          </w:tcPr>
          <w:p w14:paraId="2DAF03E9">
            <w:pPr>
              <w:jc w:val="center"/>
              <w:rPr>
                <w:rFonts w:ascii="仿宋" w:hAnsi="仿宋" w:cs="仿宋"/>
                <w:color w:val="000000" w:themeColor="text1"/>
                <w:highlight w:val="none"/>
                <w14:textFill>
                  <w14:solidFill>
                    <w14:schemeClr w14:val="tx1"/>
                  </w14:solidFill>
                </w14:textFill>
              </w:rPr>
            </w:pPr>
          </w:p>
        </w:tc>
        <w:tc>
          <w:tcPr>
            <w:tcW w:w="2919" w:type="dxa"/>
            <w:tcBorders>
              <w:top w:val="single" w:color="auto" w:sz="4" w:space="0"/>
              <w:left w:val="nil"/>
              <w:bottom w:val="single" w:color="auto" w:sz="4" w:space="0"/>
              <w:right w:val="single" w:color="auto" w:sz="4" w:space="0"/>
            </w:tcBorders>
          </w:tcPr>
          <w:p w14:paraId="27299E99">
            <w:pPr>
              <w:jc w:val="center"/>
              <w:rPr>
                <w:rFonts w:ascii="仿宋" w:hAnsi="仿宋" w:cs="仿宋"/>
                <w:color w:val="000000" w:themeColor="text1"/>
                <w:highlight w:val="none"/>
                <w14:textFill>
                  <w14:solidFill>
                    <w14:schemeClr w14:val="tx1"/>
                  </w14:solidFill>
                </w14:textFill>
              </w:rPr>
            </w:pPr>
          </w:p>
        </w:tc>
        <w:tc>
          <w:tcPr>
            <w:tcW w:w="2376" w:type="dxa"/>
            <w:tcBorders>
              <w:top w:val="single" w:color="auto" w:sz="4" w:space="0"/>
              <w:left w:val="nil"/>
              <w:bottom w:val="single" w:color="auto" w:sz="4" w:space="0"/>
              <w:right w:val="single" w:color="auto" w:sz="4" w:space="0"/>
            </w:tcBorders>
          </w:tcPr>
          <w:p w14:paraId="571EC9D6">
            <w:pPr>
              <w:rPr>
                <w:rFonts w:ascii="仿宋" w:hAnsi="仿宋" w:cs="仿宋"/>
                <w:color w:val="000000" w:themeColor="text1"/>
                <w:highlight w:val="none"/>
                <w14:textFill>
                  <w14:solidFill>
                    <w14:schemeClr w14:val="tx1"/>
                  </w14:solidFill>
                </w14:textFill>
              </w:rPr>
            </w:pPr>
          </w:p>
        </w:tc>
        <w:tc>
          <w:tcPr>
            <w:tcW w:w="1751" w:type="dxa"/>
            <w:tcBorders>
              <w:top w:val="single" w:color="auto" w:sz="4" w:space="0"/>
              <w:left w:val="nil"/>
              <w:bottom w:val="single" w:color="auto" w:sz="4" w:space="0"/>
              <w:right w:val="single" w:color="auto" w:sz="4" w:space="0"/>
            </w:tcBorders>
          </w:tcPr>
          <w:p w14:paraId="106C7984">
            <w:pPr>
              <w:rPr>
                <w:rFonts w:ascii="仿宋" w:hAnsi="仿宋" w:cs="仿宋"/>
                <w:color w:val="000000" w:themeColor="text1"/>
                <w:highlight w:val="none"/>
                <w14:textFill>
                  <w14:solidFill>
                    <w14:schemeClr w14:val="tx1"/>
                  </w14:solidFill>
                </w14:textFill>
              </w:rPr>
            </w:pPr>
          </w:p>
        </w:tc>
      </w:tr>
      <w:tr w14:paraId="453B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7" w:type="dxa"/>
            <w:tcBorders>
              <w:top w:val="single" w:color="auto" w:sz="4" w:space="0"/>
              <w:left w:val="single" w:color="auto" w:sz="4" w:space="0"/>
              <w:bottom w:val="single" w:color="auto" w:sz="4" w:space="0"/>
              <w:right w:val="single" w:color="auto" w:sz="4" w:space="0"/>
            </w:tcBorders>
          </w:tcPr>
          <w:p w14:paraId="0FB1D164">
            <w:pPr>
              <w:jc w:val="center"/>
              <w:rPr>
                <w:rFonts w:ascii="仿宋" w:hAnsi="仿宋" w:cs="仿宋"/>
                <w:color w:val="000000" w:themeColor="text1"/>
                <w:highlight w:val="none"/>
                <w14:textFill>
                  <w14:solidFill>
                    <w14:schemeClr w14:val="tx1"/>
                  </w14:solidFill>
                </w14:textFill>
              </w:rPr>
            </w:pPr>
          </w:p>
        </w:tc>
        <w:tc>
          <w:tcPr>
            <w:tcW w:w="2919" w:type="dxa"/>
            <w:tcBorders>
              <w:top w:val="single" w:color="auto" w:sz="4" w:space="0"/>
              <w:left w:val="nil"/>
              <w:bottom w:val="single" w:color="auto" w:sz="4" w:space="0"/>
              <w:right w:val="single" w:color="auto" w:sz="4" w:space="0"/>
            </w:tcBorders>
          </w:tcPr>
          <w:p w14:paraId="78F84293">
            <w:pPr>
              <w:jc w:val="center"/>
              <w:rPr>
                <w:rFonts w:ascii="仿宋" w:hAnsi="仿宋" w:cs="仿宋"/>
                <w:color w:val="000000" w:themeColor="text1"/>
                <w:highlight w:val="none"/>
                <w14:textFill>
                  <w14:solidFill>
                    <w14:schemeClr w14:val="tx1"/>
                  </w14:solidFill>
                </w14:textFill>
              </w:rPr>
            </w:pPr>
          </w:p>
        </w:tc>
        <w:tc>
          <w:tcPr>
            <w:tcW w:w="2376" w:type="dxa"/>
            <w:tcBorders>
              <w:top w:val="single" w:color="auto" w:sz="4" w:space="0"/>
              <w:left w:val="nil"/>
              <w:bottom w:val="single" w:color="auto" w:sz="4" w:space="0"/>
              <w:right w:val="single" w:color="auto" w:sz="4" w:space="0"/>
            </w:tcBorders>
          </w:tcPr>
          <w:p w14:paraId="656DA81C">
            <w:pPr>
              <w:rPr>
                <w:rFonts w:ascii="仿宋" w:hAnsi="仿宋" w:cs="仿宋"/>
                <w:color w:val="000000" w:themeColor="text1"/>
                <w:highlight w:val="none"/>
                <w14:textFill>
                  <w14:solidFill>
                    <w14:schemeClr w14:val="tx1"/>
                  </w14:solidFill>
                </w14:textFill>
              </w:rPr>
            </w:pPr>
          </w:p>
        </w:tc>
        <w:tc>
          <w:tcPr>
            <w:tcW w:w="1751" w:type="dxa"/>
            <w:tcBorders>
              <w:top w:val="single" w:color="auto" w:sz="4" w:space="0"/>
              <w:left w:val="nil"/>
              <w:bottom w:val="single" w:color="auto" w:sz="4" w:space="0"/>
              <w:right w:val="single" w:color="auto" w:sz="4" w:space="0"/>
            </w:tcBorders>
          </w:tcPr>
          <w:p w14:paraId="0ADF80F1">
            <w:pPr>
              <w:rPr>
                <w:rFonts w:ascii="仿宋" w:hAnsi="仿宋" w:cs="仿宋"/>
                <w:color w:val="000000" w:themeColor="text1"/>
                <w:highlight w:val="none"/>
                <w14:textFill>
                  <w14:solidFill>
                    <w14:schemeClr w14:val="tx1"/>
                  </w14:solidFill>
                </w14:textFill>
              </w:rPr>
            </w:pPr>
          </w:p>
        </w:tc>
      </w:tr>
      <w:tr w14:paraId="54F5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7" w:type="dxa"/>
            <w:tcBorders>
              <w:top w:val="single" w:color="auto" w:sz="4" w:space="0"/>
              <w:left w:val="single" w:color="auto" w:sz="4" w:space="0"/>
              <w:bottom w:val="single" w:color="auto" w:sz="4" w:space="0"/>
              <w:right w:val="single" w:color="auto" w:sz="4" w:space="0"/>
            </w:tcBorders>
          </w:tcPr>
          <w:p w14:paraId="3C6BE15C">
            <w:pPr>
              <w:jc w:val="center"/>
              <w:rPr>
                <w:rFonts w:ascii="仿宋" w:hAnsi="仿宋" w:cs="仿宋"/>
                <w:color w:val="000000" w:themeColor="text1"/>
                <w:highlight w:val="none"/>
                <w14:textFill>
                  <w14:solidFill>
                    <w14:schemeClr w14:val="tx1"/>
                  </w14:solidFill>
                </w14:textFill>
              </w:rPr>
            </w:pPr>
          </w:p>
        </w:tc>
        <w:tc>
          <w:tcPr>
            <w:tcW w:w="2919" w:type="dxa"/>
            <w:tcBorders>
              <w:top w:val="single" w:color="auto" w:sz="4" w:space="0"/>
              <w:left w:val="nil"/>
              <w:bottom w:val="single" w:color="auto" w:sz="4" w:space="0"/>
              <w:right w:val="single" w:color="auto" w:sz="4" w:space="0"/>
            </w:tcBorders>
          </w:tcPr>
          <w:p w14:paraId="772A0167">
            <w:pPr>
              <w:jc w:val="center"/>
              <w:rPr>
                <w:rFonts w:ascii="仿宋" w:hAnsi="仿宋" w:cs="仿宋"/>
                <w:color w:val="000000" w:themeColor="text1"/>
                <w:highlight w:val="none"/>
                <w14:textFill>
                  <w14:solidFill>
                    <w14:schemeClr w14:val="tx1"/>
                  </w14:solidFill>
                </w14:textFill>
              </w:rPr>
            </w:pPr>
          </w:p>
        </w:tc>
        <w:tc>
          <w:tcPr>
            <w:tcW w:w="2376" w:type="dxa"/>
            <w:tcBorders>
              <w:top w:val="single" w:color="auto" w:sz="4" w:space="0"/>
              <w:left w:val="nil"/>
              <w:bottom w:val="single" w:color="auto" w:sz="4" w:space="0"/>
              <w:right w:val="single" w:color="auto" w:sz="4" w:space="0"/>
            </w:tcBorders>
          </w:tcPr>
          <w:p w14:paraId="57899ACF">
            <w:pPr>
              <w:rPr>
                <w:rFonts w:ascii="仿宋" w:hAnsi="仿宋" w:cs="仿宋"/>
                <w:color w:val="000000" w:themeColor="text1"/>
                <w:highlight w:val="none"/>
                <w14:textFill>
                  <w14:solidFill>
                    <w14:schemeClr w14:val="tx1"/>
                  </w14:solidFill>
                </w14:textFill>
              </w:rPr>
            </w:pPr>
          </w:p>
        </w:tc>
        <w:tc>
          <w:tcPr>
            <w:tcW w:w="1751" w:type="dxa"/>
            <w:tcBorders>
              <w:top w:val="single" w:color="auto" w:sz="4" w:space="0"/>
              <w:left w:val="nil"/>
              <w:bottom w:val="single" w:color="auto" w:sz="4" w:space="0"/>
              <w:right w:val="single" w:color="auto" w:sz="4" w:space="0"/>
            </w:tcBorders>
          </w:tcPr>
          <w:p w14:paraId="791E7708">
            <w:pPr>
              <w:rPr>
                <w:rFonts w:ascii="仿宋" w:hAnsi="仿宋" w:cs="仿宋"/>
                <w:color w:val="000000" w:themeColor="text1"/>
                <w:highlight w:val="none"/>
                <w14:textFill>
                  <w14:solidFill>
                    <w14:schemeClr w14:val="tx1"/>
                  </w14:solidFill>
                </w14:textFill>
              </w:rPr>
            </w:pPr>
          </w:p>
        </w:tc>
      </w:tr>
      <w:tr w14:paraId="0EAB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7" w:type="dxa"/>
            <w:tcBorders>
              <w:top w:val="single" w:color="auto" w:sz="4" w:space="0"/>
              <w:left w:val="single" w:color="auto" w:sz="4" w:space="0"/>
              <w:bottom w:val="single" w:color="auto" w:sz="4" w:space="0"/>
              <w:right w:val="single" w:color="auto" w:sz="4" w:space="0"/>
            </w:tcBorders>
          </w:tcPr>
          <w:p w14:paraId="73C516D4">
            <w:pPr>
              <w:jc w:val="center"/>
              <w:rPr>
                <w:rFonts w:ascii="仿宋" w:hAnsi="仿宋" w:cs="仿宋"/>
                <w:color w:val="000000" w:themeColor="text1"/>
                <w:highlight w:val="none"/>
                <w14:textFill>
                  <w14:solidFill>
                    <w14:schemeClr w14:val="tx1"/>
                  </w14:solidFill>
                </w14:textFill>
              </w:rPr>
            </w:pPr>
          </w:p>
        </w:tc>
        <w:tc>
          <w:tcPr>
            <w:tcW w:w="2919" w:type="dxa"/>
            <w:tcBorders>
              <w:top w:val="single" w:color="auto" w:sz="4" w:space="0"/>
              <w:left w:val="nil"/>
              <w:bottom w:val="single" w:color="auto" w:sz="4" w:space="0"/>
              <w:right w:val="single" w:color="auto" w:sz="4" w:space="0"/>
            </w:tcBorders>
          </w:tcPr>
          <w:p w14:paraId="646844CF">
            <w:pPr>
              <w:jc w:val="center"/>
              <w:rPr>
                <w:rFonts w:ascii="仿宋" w:hAnsi="仿宋" w:cs="仿宋"/>
                <w:color w:val="000000" w:themeColor="text1"/>
                <w:highlight w:val="none"/>
                <w14:textFill>
                  <w14:solidFill>
                    <w14:schemeClr w14:val="tx1"/>
                  </w14:solidFill>
                </w14:textFill>
              </w:rPr>
            </w:pPr>
          </w:p>
        </w:tc>
        <w:tc>
          <w:tcPr>
            <w:tcW w:w="2376" w:type="dxa"/>
            <w:tcBorders>
              <w:top w:val="single" w:color="auto" w:sz="4" w:space="0"/>
              <w:left w:val="nil"/>
              <w:bottom w:val="single" w:color="auto" w:sz="4" w:space="0"/>
              <w:right w:val="single" w:color="auto" w:sz="4" w:space="0"/>
            </w:tcBorders>
          </w:tcPr>
          <w:p w14:paraId="4C0727BB">
            <w:pPr>
              <w:rPr>
                <w:rFonts w:ascii="仿宋" w:hAnsi="仿宋" w:cs="仿宋"/>
                <w:color w:val="000000" w:themeColor="text1"/>
                <w:highlight w:val="none"/>
                <w14:textFill>
                  <w14:solidFill>
                    <w14:schemeClr w14:val="tx1"/>
                  </w14:solidFill>
                </w14:textFill>
              </w:rPr>
            </w:pPr>
          </w:p>
        </w:tc>
        <w:tc>
          <w:tcPr>
            <w:tcW w:w="1751" w:type="dxa"/>
            <w:tcBorders>
              <w:top w:val="single" w:color="auto" w:sz="4" w:space="0"/>
              <w:left w:val="nil"/>
              <w:bottom w:val="single" w:color="auto" w:sz="4" w:space="0"/>
              <w:right w:val="single" w:color="auto" w:sz="4" w:space="0"/>
            </w:tcBorders>
          </w:tcPr>
          <w:p w14:paraId="485A87AB">
            <w:pPr>
              <w:rPr>
                <w:rFonts w:ascii="仿宋" w:hAnsi="仿宋" w:cs="仿宋"/>
                <w:color w:val="000000" w:themeColor="text1"/>
                <w:highlight w:val="none"/>
                <w14:textFill>
                  <w14:solidFill>
                    <w14:schemeClr w14:val="tx1"/>
                  </w14:solidFill>
                </w14:textFill>
              </w:rPr>
            </w:pPr>
          </w:p>
        </w:tc>
      </w:tr>
      <w:tr w14:paraId="19C7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7" w:type="dxa"/>
            <w:tcBorders>
              <w:top w:val="single" w:color="auto" w:sz="4" w:space="0"/>
              <w:left w:val="single" w:color="auto" w:sz="4" w:space="0"/>
              <w:bottom w:val="single" w:color="auto" w:sz="4" w:space="0"/>
              <w:right w:val="single" w:color="auto" w:sz="4" w:space="0"/>
            </w:tcBorders>
          </w:tcPr>
          <w:p w14:paraId="11FBFA0F">
            <w:pPr>
              <w:jc w:val="center"/>
              <w:rPr>
                <w:rFonts w:ascii="仿宋" w:hAnsi="仿宋" w:cs="仿宋"/>
                <w:color w:val="000000" w:themeColor="text1"/>
                <w:highlight w:val="none"/>
                <w14:textFill>
                  <w14:solidFill>
                    <w14:schemeClr w14:val="tx1"/>
                  </w14:solidFill>
                </w14:textFill>
              </w:rPr>
            </w:pPr>
          </w:p>
        </w:tc>
        <w:tc>
          <w:tcPr>
            <w:tcW w:w="2919" w:type="dxa"/>
            <w:tcBorders>
              <w:top w:val="single" w:color="auto" w:sz="4" w:space="0"/>
              <w:left w:val="nil"/>
              <w:bottom w:val="single" w:color="auto" w:sz="4" w:space="0"/>
              <w:right w:val="single" w:color="auto" w:sz="4" w:space="0"/>
            </w:tcBorders>
          </w:tcPr>
          <w:p w14:paraId="728AD2D7">
            <w:pPr>
              <w:jc w:val="center"/>
              <w:rPr>
                <w:rFonts w:ascii="仿宋" w:hAnsi="仿宋" w:cs="仿宋"/>
                <w:color w:val="000000" w:themeColor="text1"/>
                <w:highlight w:val="none"/>
                <w14:textFill>
                  <w14:solidFill>
                    <w14:schemeClr w14:val="tx1"/>
                  </w14:solidFill>
                </w14:textFill>
              </w:rPr>
            </w:pPr>
          </w:p>
        </w:tc>
        <w:tc>
          <w:tcPr>
            <w:tcW w:w="2376" w:type="dxa"/>
            <w:tcBorders>
              <w:top w:val="single" w:color="auto" w:sz="4" w:space="0"/>
              <w:left w:val="nil"/>
              <w:bottom w:val="single" w:color="auto" w:sz="4" w:space="0"/>
              <w:right w:val="single" w:color="auto" w:sz="4" w:space="0"/>
            </w:tcBorders>
          </w:tcPr>
          <w:p w14:paraId="3D264732">
            <w:pPr>
              <w:rPr>
                <w:rFonts w:ascii="仿宋" w:hAnsi="仿宋" w:cs="仿宋"/>
                <w:color w:val="000000" w:themeColor="text1"/>
                <w:highlight w:val="none"/>
                <w14:textFill>
                  <w14:solidFill>
                    <w14:schemeClr w14:val="tx1"/>
                  </w14:solidFill>
                </w14:textFill>
              </w:rPr>
            </w:pPr>
          </w:p>
        </w:tc>
        <w:tc>
          <w:tcPr>
            <w:tcW w:w="1751" w:type="dxa"/>
            <w:tcBorders>
              <w:top w:val="single" w:color="auto" w:sz="4" w:space="0"/>
              <w:left w:val="nil"/>
              <w:bottom w:val="single" w:color="auto" w:sz="4" w:space="0"/>
              <w:right w:val="single" w:color="auto" w:sz="4" w:space="0"/>
            </w:tcBorders>
          </w:tcPr>
          <w:p w14:paraId="755E4930">
            <w:pPr>
              <w:rPr>
                <w:rFonts w:ascii="仿宋" w:hAnsi="仿宋" w:cs="仿宋"/>
                <w:color w:val="000000" w:themeColor="text1"/>
                <w:highlight w:val="none"/>
                <w14:textFill>
                  <w14:solidFill>
                    <w14:schemeClr w14:val="tx1"/>
                  </w14:solidFill>
                </w14:textFill>
              </w:rPr>
            </w:pPr>
          </w:p>
        </w:tc>
      </w:tr>
      <w:tr w14:paraId="1ACB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7" w:type="dxa"/>
            <w:tcBorders>
              <w:top w:val="single" w:color="auto" w:sz="4" w:space="0"/>
              <w:left w:val="single" w:color="auto" w:sz="4" w:space="0"/>
              <w:bottom w:val="single" w:color="auto" w:sz="4" w:space="0"/>
              <w:right w:val="single" w:color="auto" w:sz="4" w:space="0"/>
            </w:tcBorders>
          </w:tcPr>
          <w:p w14:paraId="7702E763">
            <w:pPr>
              <w:jc w:val="center"/>
              <w:rPr>
                <w:rFonts w:ascii="仿宋" w:hAnsi="仿宋" w:cs="仿宋"/>
                <w:color w:val="000000" w:themeColor="text1"/>
                <w:highlight w:val="none"/>
                <w14:textFill>
                  <w14:solidFill>
                    <w14:schemeClr w14:val="tx1"/>
                  </w14:solidFill>
                </w14:textFill>
              </w:rPr>
            </w:pPr>
          </w:p>
        </w:tc>
        <w:tc>
          <w:tcPr>
            <w:tcW w:w="2919" w:type="dxa"/>
            <w:tcBorders>
              <w:top w:val="single" w:color="auto" w:sz="4" w:space="0"/>
              <w:left w:val="nil"/>
              <w:bottom w:val="single" w:color="auto" w:sz="4" w:space="0"/>
              <w:right w:val="single" w:color="auto" w:sz="4" w:space="0"/>
            </w:tcBorders>
          </w:tcPr>
          <w:p w14:paraId="07F5EFCD">
            <w:pPr>
              <w:jc w:val="center"/>
              <w:rPr>
                <w:rFonts w:ascii="仿宋" w:hAnsi="仿宋" w:cs="仿宋"/>
                <w:color w:val="000000" w:themeColor="text1"/>
                <w:highlight w:val="none"/>
                <w14:textFill>
                  <w14:solidFill>
                    <w14:schemeClr w14:val="tx1"/>
                  </w14:solidFill>
                </w14:textFill>
              </w:rPr>
            </w:pPr>
          </w:p>
        </w:tc>
        <w:tc>
          <w:tcPr>
            <w:tcW w:w="2376" w:type="dxa"/>
            <w:tcBorders>
              <w:top w:val="single" w:color="auto" w:sz="4" w:space="0"/>
              <w:left w:val="nil"/>
              <w:bottom w:val="single" w:color="auto" w:sz="4" w:space="0"/>
              <w:right w:val="single" w:color="auto" w:sz="4" w:space="0"/>
            </w:tcBorders>
          </w:tcPr>
          <w:p w14:paraId="2278ABF2">
            <w:pPr>
              <w:rPr>
                <w:rFonts w:ascii="仿宋" w:hAnsi="仿宋" w:cs="仿宋"/>
                <w:color w:val="000000" w:themeColor="text1"/>
                <w:highlight w:val="none"/>
                <w14:textFill>
                  <w14:solidFill>
                    <w14:schemeClr w14:val="tx1"/>
                  </w14:solidFill>
                </w14:textFill>
              </w:rPr>
            </w:pPr>
          </w:p>
        </w:tc>
        <w:tc>
          <w:tcPr>
            <w:tcW w:w="1751" w:type="dxa"/>
            <w:tcBorders>
              <w:top w:val="single" w:color="auto" w:sz="4" w:space="0"/>
              <w:left w:val="nil"/>
              <w:bottom w:val="single" w:color="auto" w:sz="4" w:space="0"/>
              <w:right w:val="single" w:color="auto" w:sz="4" w:space="0"/>
            </w:tcBorders>
          </w:tcPr>
          <w:p w14:paraId="1ABF01E1">
            <w:pPr>
              <w:rPr>
                <w:rFonts w:ascii="仿宋" w:hAnsi="仿宋" w:cs="仿宋"/>
                <w:color w:val="000000" w:themeColor="text1"/>
                <w:highlight w:val="none"/>
                <w14:textFill>
                  <w14:solidFill>
                    <w14:schemeClr w14:val="tx1"/>
                  </w14:solidFill>
                </w14:textFill>
              </w:rPr>
            </w:pPr>
          </w:p>
        </w:tc>
      </w:tr>
      <w:tr w14:paraId="372B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7" w:type="dxa"/>
            <w:tcBorders>
              <w:top w:val="single" w:color="auto" w:sz="4" w:space="0"/>
              <w:left w:val="single" w:color="auto" w:sz="4" w:space="0"/>
              <w:bottom w:val="single" w:color="auto" w:sz="4" w:space="0"/>
              <w:right w:val="single" w:color="auto" w:sz="4" w:space="0"/>
            </w:tcBorders>
          </w:tcPr>
          <w:p w14:paraId="7F36EE70">
            <w:pPr>
              <w:jc w:val="center"/>
              <w:rPr>
                <w:rFonts w:ascii="仿宋" w:hAnsi="仿宋" w:cs="仿宋"/>
                <w:color w:val="000000" w:themeColor="text1"/>
                <w:highlight w:val="none"/>
                <w14:textFill>
                  <w14:solidFill>
                    <w14:schemeClr w14:val="tx1"/>
                  </w14:solidFill>
                </w14:textFill>
              </w:rPr>
            </w:pPr>
          </w:p>
        </w:tc>
        <w:tc>
          <w:tcPr>
            <w:tcW w:w="2919" w:type="dxa"/>
            <w:tcBorders>
              <w:top w:val="single" w:color="auto" w:sz="4" w:space="0"/>
              <w:left w:val="nil"/>
              <w:bottom w:val="single" w:color="auto" w:sz="4" w:space="0"/>
              <w:right w:val="single" w:color="auto" w:sz="4" w:space="0"/>
            </w:tcBorders>
          </w:tcPr>
          <w:p w14:paraId="630B04BC">
            <w:pPr>
              <w:jc w:val="center"/>
              <w:rPr>
                <w:rFonts w:ascii="仿宋" w:hAnsi="仿宋" w:cs="仿宋"/>
                <w:color w:val="000000" w:themeColor="text1"/>
                <w:highlight w:val="none"/>
                <w14:textFill>
                  <w14:solidFill>
                    <w14:schemeClr w14:val="tx1"/>
                  </w14:solidFill>
                </w14:textFill>
              </w:rPr>
            </w:pPr>
          </w:p>
        </w:tc>
        <w:tc>
          <w:tcPr>
            <w:tcW w:w="2376" w:type="dxa"/>
            <w:tcBorders>
              <w:top w:val="single" w:color="auto" w:sz="4" w:space="0"/>
              <w:left w:val="nil"/>
              <w:bottom w:val="single" w:color="auto" w:sz="4" w:space="0"/>
              <w:right w:val="single" w:color="auto" w:sz="4" w:space="0"/>
            </w:tcBorders>
          </w:tcPr>
          <w:p w14:paraId="4FDD1795">
            <w:pPr>
              <w:rPr>
                <w:rFonts w:ascii="仿宋" w:hAnsi="仿宋" w:cs="仿宋"/>
                <w:color w:val="000000" w:themeColor="text1"/>
                <w:highlight w:val="none"/>
                <w14:textFill>
                  <w14:solidFill>
                    <w14:schemeClr w14:val="tx1"/>
                  </w14:solidFill>
                </w14:textFill>
              </w:rPr>
            </w:pPr>
          </w:p>
        </w:tc>
        <w:tc>
          <w:tcPr>
            <w:tcW w:w="1751" w:type="dxa"/>
            <w:tcBorders>
              <w:top w:val="single" w:color="auto" w:sz="4" w:space="0"/>
              <w:left w:val="nil"/>
              <w:bottom w:val="single" w:color="auto" w:sz="4" w:space="0"/>
              <w:right w:val="single" w:color="auto" w:sz="4" w:space="0"/>
            </w:tcBorders>
          </w:tcPr>
          <w:p w14:paraId="5C0F41A4">
            <w:pPr>
              <w:rPr>
                <w:rFonts w:ascii="仿宋" w:hAnsi="仿宋" w:cs="仿宋"/>
                <w:color w:val="000000" w:themeColor="text1"/>
                <w:highlight w:val="none"/>
                <w14:textFill>
                  <w14:solidFill>
                    <w14:schemeClr w14:val="tx1"/>
                  </w14:solidFill>
                </w14:textFill>
              </w:rPr>
            </w:pPr>
          </w:p>
        </w:tc>
      </w:tr>
    </w:tbl>
    <w:p w14:paraId="5FF0EC70">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w:t>
      </w:r>
    </w:p>
    <w:p w14:paraId="638A3CFB">
      <w:pPr>
        <w:numPr>
          <w:ilvl w:val="0"/>
          <w:numId w:val="57"/>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投标人须根据招标文件技术要求填写此表，作为投标文件重要的组成部分。</w:t>
      </w:r>
    </w:p>
    <w:p w14:paraId="4C3A690F">
      <w:pPr>
        <w:numPr>
          <w:ilvl w:val="0"/>
          <w:numId w:val="57"/>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偏离包括正、负偏离，正偏离指投标人的响应高于招标文件要求，负偏离指投标人的响应低于招标文件要求。无偏离也应该予以说明。</w:t>
      </w:r>
    </w:p>
    <w:p w14:paraId="2FFDB6BD">
      <w:pPr>
        <w:numPr>
          <w:ilvl w:val="0"/>
          <w:numId w:val="57"/>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如投标人无任何偏离，也需在响应表中注明：“全部技术条款无偏离”并在投标文件中递交此表。</w:t>
      </w:r>
    </w:p>
    <w:p w14:paraId="729AB039">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p>
    <w:p w14:paraId="7321AEDC">
      <w:pPr>
        <w:spacing w:line="36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70365017">
      <w:pPr>
        <w:spacing w:line="36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投标人授权代表签字：</w:t>
      </w:r>
      <w:r>
        <w:rPr>
          <w:rFonts w:hint="eastAsia" w:ascii="仿宋" w:hAnsi="仿宋" w:cs="仿宋"/>
          <w:color w:val="000000" w:themeColor="text1"/>
          <w:highlight w:val="none"/>
          <w:u w:val="single"/>
          <w14:textFill>
            <w14:solidFill>
              <w14:schemeClr w14:val="tx1"/>
            </w14:solidFill>
          </w14:textFill>
        </w:rPr>
        <w:t xml:space="preserve">                        </w:t>
      </w:r>
    </w:p>
    <w:p w14:paraId="24CEC012">
      <w:pPr>
        <w:spacing w:line="360" w:lineRule="exact"/>
        <w:rPr>
          <w:rFonts w:ascii="仿宋" w:hAnsi="仿宋" w:cs="仿宋"/>
          <w:i/>
          <w:iCs/>
          <w:color w:val="000000" w:themeColor="text1"/>
          <w:highlight w:val="none"/>
          <w14:textFill>
            <w14:solidFill>
              <w14:schemeClr w14:val="tx1"/>
            </w14:solidFill>
          </w14:textFill>
        </w:rPr>
      </w:pPr>
      <w:r>
        <w:rPr>
          <w:rFonts w:hint="eastAsia" w:ascii="仿宋" w:hAnsi="仿宋" w:cs="仿宋"/>
          <w:i/>
          <w:iCs/>
          <w:color w:val="000000" w:themeColor="text1"/>
          <w:highlight w:val="none"/>
          <w14:textFill>
            <w14:solidFill>
              <w14:schemeClr w14:val="tx1"/>
            </w14:solidFill>
          </w14:textFill>
        </w:rPr>
        <w:t xml:space="preserve"> </w:t>
      </w:r>
    </w:p>
    <w:p w14:paraId="126056C6">
      <w:pPr>
        <w:outlineLvl w:val="0"/>
        <w:rPr>
          <w:rStyle w:val="62"/>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br w:type="page"/>
      </w:r>
    </w:p>
    <w:p w14:paraId="5D3E558D">
      <w:pPr>
        <w:pStyle w:val="4"/>
        <w:rPr>
          <w:rStyle w:val="62"/>
          <w:rFonts w:ascii="仿宋" w:hAnsi="仿宋" w:eastAsia="仿宋" w:cs="仿宋"/>
          <w:b/>
          <w:bCs/>
          <w:color w:val="000000" w:themeColor="text1"/>
          <w:sz w:val="24"/>
          <w:szCs w:val="24"/>
          <w:highlight w:val="none"/>
          <w14:textFill>
            <w14:solidFill>
              <w14:schemeClr w14:val="tx1"/>
            </w14:solidFill>
          </w14:textFill>
        </w:rPr>
      </w:pPr>
      <w:bookmarkStart w:id="373" w:name="_Toc5638"/>
      <w:r>
        <w:rPr>
          <w:rStyle w:val="62"/>
          <w:rFonts w:hint="eastAsia" w:ascii="仿宋" w:hAnsi="仿宋" w:eastAsia="仿宋" w:cs="仿宋"/>
          <w:b/>
          <w:bCs/>
          <w:color w:val="000000" w:themeColor="text1"/>
          <w:sz w:val="24"/>
          <w:szCs w:val="24"/>
          <w:highlight w:val="none"/>
          <w14:textFill>
            <w14:solidFill>
              <w14:schemeClr w14:val="tx1"/>
            </w14:solidFill>
          </w14:textFill>
        </w:rPr>
        <w:t>附件4 商务条款偏离表</w:t>
      </w:r>
      <w:bookmarkEnd w:id="373"/>
    </w:p>
    <w:p w14:paraId="474E9D5E">
      <w:pPr>
        <w:spacing w:line="360" w:lineRule="auto"/>
        <w:ind w:left="-1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项目名称：</w:t>
      </w:r>
    </w:p>
    <w:p w14:paraId="43B7E8A0">
      <w:pPr>
        <w:spacing w:line="360" w:lineRule="auto"/>
        <w:ind w:left="-1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招标编号：</w:t>
      </w:r>
    </w:p>
    <w:tbl>
      <w:tblPr>
        <w:tblStyle w:val="3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052"/>
        <w:gridCol w:w="2410"/>
        <w:gridCol w:w="2176"/>
        <w:gridCol w:w="1545"/>
      </w:tblGrid>
      <w:tr w14:paraId="5EA0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2D99FF1E">
            <w:pPr>
              <w:spacing w:before="240" w:after="24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序号</w:t>
            </w:r>
          </w:p>
        </w:tc>
        <w:tc>
          <w:tcPr>
            <w:tcW w:w="2052" w:type="dxa"/>
            <w:tcBorders>
              <w:top w:val="single" w:color="auto" w:sz="4" w:space="0"/>
              <w:left w:val="nil"/>
              <w:bottom w:val="single" w:color="auto" w:sz="4" w:space="0"/>
              <w:right w:val="single" w:color="auto" w:sz="4" w:space="0"/>
            </w:tcBorders>
          </w:tcPr>
          <w:p w14:paraId="61CE5468">
            <w:pPr>
              <w:spacing w:before="240" w:after="24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招标文件条目号</w:t>
            </w:r>
          </w:p>
        </w:tc>
        <w:tc>
          <w:tcPr>
            <w:tcW w:w="2410" w:type="dxa"/>
            <w:tcBorders>
              <w:top w:val="single" w:color="auto" w:sz="4" w:space="0"/>
              <w:left w:val="nil"/>
              <w:bottom w:val="single" w:color="auto" w:sz="4" w:space="0"/>
              <w:right w:val="single" w:color="auto" w:sz="4" w:space="0"/>
            </w:tcBorders>
          </w:tcPr>
          <w:p w14:paraId="21728242">
            <w:pPr>
              <w:spacing w:before="240" w:after="24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招标文件的商务条款</w:t>
            </w:r>
          </w:p>
        </w:tc>
        <w:tc>
          <w:tcPr>
            <w:tcW w:w="2176" w:type="dxa"/>
            <w:tcBorders>
              <w:top w:val="single" w:color="auto" w:sz="4" w:space="0"/>
              <w:left w:val="nil"/>
              <w:bottom w:val="single" w:color="auto" w:sz="4" w:space="0"/>
              <w:right w:val="single" w:color="auto" w:sz="4" w:space="0"/>
            </w:tcBorders>
          </w:tcPr>
          <w:p w14:paraId="1A86DD38">
            <w:pPr>
              <w:spacing w:before="240" w:after="24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投标文件的商务条款</w:t>
            </w:r>
          </w:p>
        </w:tc>
        <w:tc>
          <w:tcPr>
            <w:tcW w:w="1545" w:type="dxa"/>
            <w:tcBorders>
              <w:top w:val="single" w:color="auto" w:sz="4" w:space="0"/>
              <w:left w:val="nil"/>
              <w:bottom w:val="single" w:color="auto" w:sz="4" w:space="0"/>
              <w:right w:val="single" w:color="auto" w:sz="4" w:space="0"/>
            </w:tcBorders>
          </w:tcPr>
          <w:p w14:paraId="1A5515E6">
            <w:pPr>
              <w:spacing w:before="240" w:after="24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说明</w:t>
            </w:r>
          </w:p>
        </w:tc>
      </w:tr>
      <w:tr w14:paraId="33E2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63817CD6">
            <w:pPr>
              <w:spacing w:before="240" w:after="240"/>
              <w:rPr>
                <w:rFonts w:ascii="仿宋" w:hAnsi="仿宋" w:cs="仿宋"/>
                <w:color w:val="000000" w:themeColor="text1"/>
                <w:highlight w:val="none"/>
                <w14:textFill>
                  <w14:solidFill>
                    <w14:schemeClr w14:val="tx1"/>
                  </w14:solidFill>
                </w14:textFill>
              </w:rPr>
            </w:pPr>
          </w:p>
        </w:tc>
        <w:tc>
          <w:tcPr>
            <w:tcW w:w="2052" w:type="dxa"/>
            <w:tcBorders>
              <w:top w:val="single" w:color="auto" w:sz="4" w:space="0"/>
              <w:left w:val="nil"/>
              <w:bottom w:val="single" w:color="auto" w:sz="4" w:space="0"/>
              <w:right w:val="single" w:color="auto" w:sz="4" w:space="0"/>
            </w:tcBorders>
          </w:tcPr>
          <w:p w14:paraId="0D1260C2">
            <w:pPr>
              <w:spacing w:before="240" w:after="240"/>
              <w:rPr>
                <w:rFonts w:ascii="仿宋" w:hAnsi="仿宋" w:cs="仿宋"/>
                <w:color w:val="000000" w:themeColor="text1"/>
                <w:highlight w:val="none"/>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tcPr>
          <w:p w14:paraId="52FD760A">
            <w:pPr>
              <w:spacing w:before="240" w:after="240"/>
              <w:rPr>
                <w:rFonts w:ascii="仿宋" w:hAnsi="仿宋" w:cs="仿宋"/>
                <w:color w:val="000000" w:themeColor="text1"/>
                <w:highlight w:val="none"/>
                <w14:textFill>
                  <w14:solidFill>
                    <w14:schemeClr w14:val="tx1"/>
                  </w14:solidFill>
                </w14:textFill>
              </w:rPr>
            </w:pPr>
          </w:p>
        </w:tc>
        <w:tc>
          <w:tcPr>
            <w:tcW w:w="2176" w:type="dxa"/>
            <w:tcBorders>
              <w:top w:val="single" w:color="auto" w:sz="4" w:space="0"/>
              <w:left w:val="nil"/>
              <w:bottom w:val="single" w:color="auto" w:sz="4" w:space="0"/>
              <w:right w:val="single" w:color="auto" w:sz="4" w:space="0"/>
            </w:tcBorders>
          </w:tcPr>
          <w:p w14:paraId="3E4A5577">
            <w:pPr>
              <w:spacing w:before="240" w:after="240"/>
              <w:rPr>
                <w:rFonts w:ascii="仿宋" w:hAnsi="仿宋" w:cs="仿宋"/>
                <w:color w:val="000000" w:themeColor="text1"/>
                <w:highlight w:val="none"/>
                <w14:textFill>
                  <w14:solidFill>
                    <w14:schemeClr w14:val="tx1"/>
                  </w14:solidFill>
                </w14:textFill>
              </w:rPr>
            </w:pPr>
          </w:p>
        </w:tc>
        <w:tc>
          <w:tcPr>
            <w:tcW w:w="1545" w:type="dxa"/>
            <w:tcBorders>
              <w:top w:val="single" w:color="auto" w:sz="4" w:space="0"/>
              <w:left w:val="nil"/>
              <w:bottom w:val="single" w:color="auto" w:sz="4" w:space="0"/>
              <w:right w:val="single" w:color="auto" w:sz="4" w:space="0"/>
            </w:tcBorders>
          </w:tcPr>
          <w:p w14:paraId="23C90CAD">
            <w:pPr>
              <w:spacing w:before="240" w:after="240"/>
              <w:rPr>
                <w:rFonts w:ascii="仿宋" w:hAnsi="仿宋" w:cs="仿宋"/>
                <w:color w:val="000000" w:themeColor="text1"/>
                <w:highlight w:val="none"/>
                <w14:textFill>
                  <w14:solidFill>
                    <w14:schemeClr w14:val="tx1"/>
                  </w14:solidFill>
                </w14:textFill>
              </w:rPr>
            </w:pPr>
          </w:p>
        </w:tc>
      </w:tr>
      <w:tr w14:paraId="1FBB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0F0857F7">
            <w:pPr>
              <w:spacing w:before="240" w:after="240"/>
              <w:rPr>
                <w:rFonts w:ascii="仿宋" w:hAnsi="仿宋" w:cs="仿宋"/>
                <w:color w:val="000000" w:themeColor="text1"/>
                <w:highlight w:val="none"/>
                <w14:textFill>
                  <w14:solidFill>
                    <w14:schemeClr w14:val="tx1"/>
                  </w14:solidFill>
                </w14:textFill>
              </w:rPr>
            </w:pPr>
          </w:p>
        </w:tc>
        <w:tc>
          <w:tcPr>
            <w:tcW w:w="2052" w:type="dxa"/>
            <w:tcBorders>
              <w:top w:val="single" w:color="auto" w:sz="4" w:space="0"/>
              <w:left w:val="nil"/>
              <w:bottom w:val="single" w:color="auto" w:sz="4" w:space="0"/>
              <w:right w:val="single" w:color="auto" w:sz="4" w:space="0"/>
            </w:tcBorders>
          </w:tcPr>
          <w:p w14:paraId="27921E39">
            <w:pPr>
              <w:spacing w:before="240" w:after="240"/>
              <w:rPr>
                <w:rFonts w:ascii="仿宋" w:hAnsi="仿宋" w:cs="仿宋"/>
                <w:color w:val="000000" w:themeColor="text1"/>
                <w:highlight w:val="none"/>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tcPr>
          <w:p w14:paraId="3098E0B0">
            <w:pPr>
              <w:spacing w:before="240" w:after="240"/>
              <w:rPr>
                <w:rFonts w:ascii="仿宋" w:hAnsi="仿宋" w:cs="仿宋"/>
                <w:color w:val="000000" w:themeColor="text1"/>
                <w:highlight w:val="none"/>
                <w14:textFill>
                  <w14:solidFill>
                    <w14:schemeClr w14:val="tx1"/>
                  </w14:solidFill>
                </w14:textFill>
              </w:rPr>
            </w:pPr>
          </w:p>
        </w:tc>
        <w:tc>
          <w:tcPr>
            <w:tcW w:w="2176" w:type="dxa"/>
            <w:tcBorders>
              <w:top w:val="single" w:color="auto" w:sz="4" w:space="0"/>
              <w:left w:val="nil"/>
              <w:bottom w:val="single" w:color="auto" w:sz="4" w:space="0"/>
              <w:right w:val="single" w:color="auto" w:sz="4" w:space="0"/>
            </w:tcBorders>
          </w:tcPr>
          <w:p w14:paraId="16103D9F">
            <w:pPr>
              <w:spacing w:before="240" w:after="240"/>
              <w:rPr>
                <w:rFonts w:ascii="仿宋" w:hAnsi="仿宋" w:cs="仿宋"/>
                <w:color w:val="000000" w:themeColor="text1"/>
                <w:highlight w:val="none"/>
                <w14:textFill>
                  <w14:solidFill>
                    <w14:schemeClr w14:val="tx1"/>
                  </w14:solidFill>
                </w14:textFill>
              </w:rPr>
            </w:pPr>
          </w:p>
        </w:tc>
        <w:tc>
          <w:tcPr>
            <w:tcW w:w="1545" w:type="dxa"/>
            <w:tcBorders>
              <w:top w:val="single" w:color="auto" w:sz="4" w:space="0"/>
              <w:left w:val="nil"/>
              <w:bottom w:val="single" w:color="auto" w:sz="4" w:space="0"/>
              <w:right w:val="single" w:color="auto" w:sz="4" w:space="0"/>
            </w:tcBorders>
          </w:tcPr>
          <w:p w14:paraId="059BBA68">
            <w:pPr>
              <w:spacing w:before="240" w:after="240"/>
              <w:rPr>
                <w:rFonts w:ascii="仿宋" w:hAnsi="仿宋" w:cs="仿宋"/>
                <w:color w:val="000000" w:themeColor="text1"/>
                <w:highlight w:val="none"/>
                <w14:textFill>
                  <w14:solidFill>
                    <w14:schemeClr w14:val="tx1"/>
                  </w14:solidFill>
                </w14:textFill>
              </w:rPr>
            </w:pPr>
          </w:p>
        </w:tc>
      </w:tr>
      <w:tr w14:paraId="397A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71CECA99">
            <w:pPr>
              <w:spacing w:before="240" w:after="240"/>
              <w:rPr>
                <w:rFonts w:ascii="仿宋" w:hAnsi="仿宋" w:cs="仿宋"/>
                <w:color w:val="000000" w:themeColor="text1"/>
                <w:highlight w:val="none"/>
                <w14:textFill>
                  <w14:solidFill>
                    <w14:schemeClr w14:val="tx1"/>
                  </w14:solidFill>
                </w14:textFill>
              </w:rPr>
            </w:pPr>
          </w:p>
        </w:tc>
        <w:tc>
          <w:tcPr>
            <w:tcW w:w="2052" w:type="dxa"/>
            <w:tcBorders>
              <w:top w:val="single" w:color="auto" w:sz="4" w:space="0"/>
              <w:left w:val="nil"/>
              <w:bottom w:val="single" w:color="auto" w:sz="4" w:space="0"/>
              <w:right w:val="single" w:color="auto" w:sz="4" w:space="0"/>
            </w:tcBorders>
          </w:tcPr>
          <w:p w14:paraId="2F9CFCA1">
            <w:pPr>
              <w:spacing w:before="240" w:after="240"/>
              <w:rPr>
                <w:rFonts w:ascii="仿宋" w:hAnsi="仿宋" w:cs="仿宋"/>
                <w:color w:val="000000" w:themeColor="text1"/>
                <w:highlight w:val="none"/>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tcPr>
          <w:p w14:paraId="10762900">
            <w:pPr>
              <w:spacing w:before="240" w:after="240"/>
              <w:rPr>
                <w:rFonts w:ascii="仿宋" w:hAnsi="仿宋" w:cs="仿宋"/>
                <w:color w:val="000000" w:themeColor="text1"/>
                <w:highlight w:val="none"/>
                <w14:textFill>
                  <w14:solidFill>
                    <w14:schemeClr w14:val="tx1"/>
                  </w14:solidFill>
                </w14:textFill>
              </w:rPr>
            </w:pPr>
          </w:p>
        </w:tc>
        <w:tc>
          <w:tcPr>
            <w:tcW w:w="2176" w:type="dxa"/>
            <w:tcBorders>
              <w:top w:val="single" w:color="auto" w:sz="4" w:space="0"/>
              <w:left w:val="nil"/>
              <w:bottom w:val="single" w:color="auto" w:sz="4" w:space="0"/>
              <w:right w:val="single" w:color="auto" w:sz="4" w:space="0"/>
            </w:tcBorders>
          </w:tcPr>
          <w:p w14:paraId="372FFD12">
            <w:pPr>
              <w:spacing w:before="240" w:after="240"/>
              <w:rPr>
                <w:rFonts w:ascii="仿宋" w:hAnsi="仿宋" w:cs="仿宋"/>
                <w:color w:val="000000" w:themeColor="text1"/>
                <w:highlight w:val="none"/>
                <w14:textFill>
                  <w14:solidFill>
                    <w14:schemeClr w14:val="tx1"/>
                  </w14:solidFill>
                </w14:textFill>
              </w:rPr>
            </w:pPr>
          </w:p>
        </w:tc>
        <w:tc>
          <w:tcPr>
            <w:tcW w:w="1545" w:type="dxa"/>
            <w:tcBorders>
              <w:top w:val="single" w:color="auto" w:sz="4" w:space="0"/>
              <w:left w:val="nil"/>
              <w:bottom w:val="single" w:color="auto" w:sz="4" w:space="0"/>
              <w:right w:val="single" w:color="auto" w:sz="4" w:space="0"/>
            </w:tcBorders>
          </w:tcPr>
          <w:p w14:paraId="46D59ED2">
            <w:pPr>
              <w:spacing w:before="240" w:after="240"/>
              <w:rPr>
                <w:rFonts w:ascii="仿宋" w:hAnsi="仿宋" w:cs="仿宋"/>
                <w:color w:val="000000" w:themeColor="text1"/>
                <w:highlight w:val="none"/>
                <w14:textFill>
                  <w14:solidFill>
                    <w14:schemeClr w14:val="tx1"/>
                  </w14:solidFill>
                </w14:textFill>
              </w:rPr>
            </w:pPr>
          </w:p>
        </w:tc>
      </w:tr>
      <w:tr w14:paraId="09B3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7CC0C7FF">
            <w:pPr>
              <w:spacing w:before="240" w:after="240"/>
              <w:rPr>
                <w:rFonts w:ascii="仿宋" w:hAnsi="仿宋" w:cs="仿宋"/>
                <w:color w:val="000000" w:themeColor="text1"/>
                <w:highlight w:val="none"/>
                <w14:textFill>
                  <w14:solidFill>
                    <w14:schemeClr w14:val="tx1"/>
                  </w14:solidFill>
                </w14:textFill>
              </w:rPr>
            </w:pPr>
          </w:p>
        </w:tc>
        <w:tc>
          <w:tcPr>
            <w:tcW w:w="2052" w:type="dxa"/>
            <w:tcBorders>
              <w:top w:val="single" w:color="auto" w:sz="4" w:space="0"/>
              <w:left w:val="nil"/>
              <w:bottom w:val="single" w:color="auto" w:sz="4" w:space="0"/>
              <w:right w:val="single" w:color="auto" w:sz="4" w:space="0"/>
            </w:tcBorders>
          </w:tcPr>
          <w:p w14:paraId="5061CAF8">
            <w:pPr>
              <w:spacing w:before="240" w:after="240"/>
              <w:rPr>
                <w:rFonts w:ascii="仿宋" w:hAnsi="仿宋" w:cs="仿宋"/>
                <w:color w:val="000000" w:themeColor="text1"/>
                <w:highlight w:val="none"/>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tcPr>
          <w:p w14:paraId="77534A0B">
            <w:pPr>
              <w:spacing w:before="240" w:after="240"/>
              <w:rPr>
                <w:rFonts w:ascii="仿宋" w:hAnsi="仿宋" w:cs="仿宋"/>
                <w:color w:val="000000" w:themeColor="text1"/>
                <w:highlight w:val="none"/>
                <w14:textFill>
                  <w14:solidFill>
                    <w14:schemeClr w14:val="tx1"/>
                  </w14:solidFill>
                </w14:textFill>
              </w:rPr>
            </w:pPr>
          </w:p>
        </w:tc>
        <w:tc>
          <w:tcPr>
            <w:tcW w:w="2176" w:type="dxa"/>
            <w:tcBorders>
              <w:top w:val="single" w:color="auto" w:sz="4" w:space="0"/>
              <w:left w:val="nil"/>
              <w:bottom w:val="single" w:color="auto" w:sz="4" w:space="0"/>
              <w:right w:val="single" w:color="auto" w:sz="4" w:space="0"/>
            </w:tcBorders>
          </w:tcPr>
          <w:p w14:paraId="7DCA73EC">
            <w:pPr>
              <w:spacing w:before="240" w:after="240"/>
              <w:rPr>
                <w:rFonts w:ascii="仿宋" w:hAnsi="仿宋" w:cs="仿宋"/>
                <w:color w:val="000000" w:themeColor="text1"/>
                <w:highlight w:val="none"/>
                <w14:textFill>
                  <w14:solidFill>
                    <w14:schemeClr w14:val="tx1"/>
                  </w14:solidFill>
                </w14:textFill>
              </w:rPr>
            </w:pPr>
          </w:p>
        </w:tc>
        <w:tc>
          <w:tcPr>
            <w:tcW w:w="1545" w:type="dxa"/>
            <w:tcBorders>
              <w:top w:val="single" w:color="auto" w:sz="4" w:space="0"/>
              <w:left w:val="nil"/>
              <w:bottom w:val="single" w:color="auto" w:sz="4" w:space="0"/>
              <w:right w:val="single" w:color="auto" w:sz="4" w:space="0"/>
            </w:tcBorders>
          </w:tcPr>
          <w:p w14:paraId="26D24497">
            <w:pPr>
              <w:spacing w:before="240" w:after="240"/>
              <w:rPr>
                <w:rFonts w:ascii="仿宋" w:hAnsi="仿宋" w:cs="仿宋"/>
                <w:color w:val="000000" w:themeColor="text1"/>
                <w:highlight w:val="none"/>
                <w14:textFill>
                  <w14:solidFill>
                    <w14:schemeClr w14:val="tx1"/>
                  </w14:solidFill>
                </w14:textFill>
              </w:rPr>
            </w:pPr>
          </w:p>
        </w:tc>
      </w:tr>
      <w:tr w14:paraId="183E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2B74BEC6">
            <w:pPr>
              <w:spacing w:before="240" w:after="240"/>
              <w:rPr>
                <w:rFonts w:ascii="仿宋" w:hAnsi="仿宋" w:cs="仿宋"/>
                <w:color w:val="000000" w:themeColor="text1"/>
                <w:highlight w:val="none"/>
                <w14:textFill>
                  <w14:solidFill>
                    <w14:schemeClr w14:val="tx1"/>
                  </w14:solidFill>
                </w14:textFill>
              </w:rPr>
            </w:pPr>
          </w:p>
        </w:tc>
        <w:tc>
          <w:tcPr>
            <w:tcW w:w="2052" w:type="dxa"/>
            <w:tcBorders>
              <w:top w:val="single" w:color="auto" w:sz="4" w:space="0"/>
              <w:left w:val="nil"/>
              <w:bottom w:val="single" w:color="auto" w:sz="4" w:space="0"/>
              <w:right w:val="single" w:color="auto" w:sz="4" w:space="0"/>
            </w:tcBorders>
          </w:tcPr>
          <w:p w14:paraId="4B7A0331">
            <w:pPr>
              <w:spacing w:before="240" w:after="240"/>
              <w:rPr>
                <w:rFonts w:ascii="仿宋" w:hAnsi="仿宋" w:cs="仿宋"/>
                <w:color w:val="000000" w:themeColor="text1"/>
                <w:highlight w:val="none"/>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tcPr>
          <w:p w14:paraId="299F9DE3">
            <w:pPr>
              <w:spacing w:before="240" w:after="240"/>
              <w:rPr>
                <w:rFonts w:ascii="仿宋" w:hAnsi="仿宋" w:cs="仿宋"/>
                <w:color w:val="000000" w:themeColor="text1"/>
                <w:highlight w:val="none"/>
                <w14:textFill>
                  <w14:solidFill>
                    <w14:schemeClr w14:val="tx1"/>
                  </w14:solidFill>
                </w14:textFill>
              </w:rPr>
            </w:pPr>
          </w:p>
        </w:tc>
        <w:tc>
          <w:tcPr>
            <w:tcW w:w="2176" w:type="dxa"/>
            <w:tcBorders>
              <w:top w:val="single" w:color="auto" w:sz="4" w:space="0"/>
              <w:left w:val="nil"/>
              <w:bottom w:val="single" w:color="auto" w:sz="4" w:space="0"/>
              <w:right w:val="single" w:color="auto" w:sz="4" w:space="0"/>
            </w:tcBorders>
          </w:tcPr>
          <w:p w14:paraId="7335BFB3">
            <w:pPr>
              <w:spacing w:before="240" w:after="240"/>
              <w:rPr>
                <w:rFonts w:ascii="仿宋" w:hAnsi="仿宋" w:cs="仿宋"/>
                <w:color w:val="000000" w:themeColor="text1"/>
                <w:highlight w:val="none"/>
                <w14:textFill>
                  <w14:solidFill>
                    <w14:schemeClr w14:val="tx1"/>
                  </w14:solidFill>
                </w14:textFill>
              </w:rPr>
            </w:pPr>
          </w:p>
        </w:tc>
        <w:tc>
          <w:tcPr>
            <w:tcW w:w="1545" w:type="dxa"/>
            <w:tcBorders>
              <w:top w:val="single" w:color="auto" w:sz="4" w:space="0"/>
              <w:left w:val="nil"/>
              <w:bottom w:val="single" w:color="auto" w:sz="4" w:space="0"/>
              <w:right w:val="single" w:color="auto" w:sz="4" w:space="0"/>
            </w:tcBorders>
          </w:tcPr>
          <w:p w14:paraId="048CF6D7">
            <w:pPr>
              <w:spacing w:before="240" w:after="240"/>
              <w:rPr>
                <w:rFonts w:ascii="仿宋" w:hAnsi="仿宋" w:cs="仿宋"/>
                <w:color w:val="000000" w:themeColor="text1"/>
                <w:highlight w:val="none"/>
                <w14:textFill>
                  <w14:solidFill>
                    <w14:schemeClr w14:val="tx1"/>
                  </w14:solidFill>
                </w14:textFill>
              </w:rPr>
            </w:pPr>
          </w:p>
        </w:tc>
      </w:tr>
      <w:tr w14:paraId="4795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55353F16">
            <w:pPr>
              <w:spacing w:before="240" w:after="240"/>
              <w:rPr>
                <w:rFonts w:ascii="仿宋" w:hAnsi="仿宋" w:cs="仿宋"/>
                <w:color w:val="000000" w:themeColor="text1"/>
                <w:highlight w:val="none"/>
                <w14:textFill>
                  <w14:solidFill>
                    <w14:schemeClr w14:val="tx1"/>
                  </w14:solidFill>
                </w14:textFill>
              </w:rPr>
            </w:pPr>
          </w:p>
        </w:tc>
        <w:tc>
          <w:tcPr>
            <w:tcW w:w="2052" w:type="dxa"/>
            <w:tcBorders>
              <w:top w:val="single" w:color="auto" w:sz="4" w:space="0"/>
              <w:left w:val="nil"/>
              <w:bottom w:val="single" w:color="auto" w:sz="4" w:space="0"/>
              <w:right w:val="single" w:color="auto" w:sz="4" w:space="0"/>
            </w:tcBorders>
          </w:tcPr>
          <w:p w14:paraId="4AEB76E2">
            <w:pPr>
              <w:spacing w:before="240" w:after="240"/>
              <w:rPr>
                <w:rFonts w:ascii="仿宋" w:hAnsi="仿宋" w:cs="仿宋"/>
                <w:color w:val="000000" w:themeColor="text1"/>
                <w:highlight w:val="none"/>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tcPr>
          <w:p w14:paraId="48ACCB9C">
            <w:pPr>
              <w:spacing w:before="240" w:after="240"/>
              <w:rPr>
                <w:rFonts w:ascii="仿宋" w:hAnsi="仿宋" w:cs="仿宋"/>
                <w:color w:val="000000" w:themeColor="text1"/>
                <w:highlight w:val="none"/>
                <w14:textFill>
                  <w14:solidFill>
                    <w14:schemeClr w14:val="tx1"/>
                  </w14:solidFill>
                </w14:textFill>
              </w:rPr>
            </w:pPr>
          </w:p>
        </w:tc>
        <w:tc>
          <w:tcPr>
            <w:tcW w:w="2176" w:type="dxa"/>
            <w:tcBorders>
              <w:top w:val="single" w:color="auto" w:sz="4" w:space="0"/>
              <w:left w:val="nil"/>
              <w:bottom w:val="single" w:color="auto" w:sz="4" w:space="0"/>
              <w:right w:val="single" w:color="auto" w:sz="4" w:space="0"/>
            </w:tcBorders>
          </w:tcPr>
          <w:p w14:paraId="37ED6B6D">
            <w:pPr>
              <w:spacing w:before="240" w:after="240"/>
              <w:rPr>
                <w:rFonts w:ascii="仿宋" w:hAnsi="仿宋" w:cs="仿宋"/>
                <w:color w:val="000000" w:themeColor="text1"/>
                <w:highlight w:val="none"/>
                <w14:textFill>
                  <w14:solidFill>
                    <w14:schemeClr w14:val="tx1"/>
                  </w14:solidFill>
                </w14:textFill>
              </w:rPr>
            </w:pPr>
          </w:p>
        </w:tc>
        <w:tc>
          <w:tcPr>
            <w:tcW w:w="1545" w:type="dxa"/>
            <w:tcBorders>
              <w:top w:val="single" w:color="auto" w:sz="4" w:space="0"/>
              <w:left w:val="nil"/>
              <w:bottom w:val="single" w:color="auto" w:sz="4" w:space="0"/>
              <w:right w:val="single" w:color="auto" w:sz="4" w:space="0"/>
            </w:tcBorders>
          </w:tcPr>
          <w:p w14:paraId="576883DD">
            <w:pPr>
              <w:spacing w:before="240" w:after="240"/>
              <w:rPr>
                <w:rFonts w:ascii="仿宋" w:hAnsi="仿宋" w:cs="仿宋"/>
                <w:color w:val="000000" w:themeColor="text1"/>
                <w:highlight w:val="none"/>
                <w14:textFill>
                  <w14:solidFill>
                    <w14:schemeClr w14:val="tx1"/>
                  </w14:solidFill>
                </w14:textFill>
              </w:rPr>
            </w:pPr>
          </w:p>
        </w:tc>
      </w:tr>
    </w:tbl>
    <w:p w14:paraId="1942694A">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w:t>
      </w:r>
    </w:p>
    <w:p w14:paraId="2783AA54">
      <w:pPr>
        <w:numPr>
          <w:ilvl w:val="0"/>
          <w:numId w:val="58"/>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如投标人无任何偏离，也需在响应表中注明：“全部商务条款无偏离且合同主要条款及格式无偏离”并在投标文件中递交此表。</w:t>
      </w:r>
    </w:p>
    <w:p w14:paraId="36ECB2F1">
      <w:pPr>
        <w:numPr>
          <w:ilvl w:val="0"/>
          <w:numId w:val="58"/>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偏离包括正、负偏离，正偏离指投标人的响应高于招标文件要求，负偏离指投标人的响应低于招标文件要求。</w:t>
      </w:r>
    </w:p>
    <w:p w14:paraId="5807162D">
      <w:pPr>
        <w:numPr>
          <w:ilvl w:val="0"/>
          <w:numId w:val="58"/>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投标人须在商务偏离表中对于第四章“合同主要条款及格式”进行强制应答，如未应答或存在负偏离，其投标将被否决。</w:t>
      </w:r>
    </w:p>
    <w:p w14:paraId="332E14C5">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07780F7B">
      <w:pPr>
        <w:spacing w:line="480" w:lineRule="auto"/>
        <w:jc w:val="left"/>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投标人授权代表签字：</w:t>
      </w:r>
      <w:r>
        <w:rPr>
          <w:rFonts w:hint="eastAsia" w:ascii="仿宋" w:hAnsi="仿宋" w:cs="仿宋"/>
          <w:color w:val="000000" w:themeColor="text1"/>
          <w:highlight w:val="none"/>
          <w:u w:val="single"/>
          <w14:textFill>
            <w14:solidFill>
              <w14:schemeClr w14:val="tx1"/>
            </w14:solidFill>
          </w14:textFill>
        </w:rPr>
        <w:t xml:space="preserve">                        </w:t>
      </w:r>
    </w:p>
    <w:p w14:paraId="71AB194F">
      <w:pPr>
        <w:outlineLvl w:val="0"/>
        <w:rPr>
          <w:rStyle w:val="62"/>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cs="仿宋"/>
          <w:color w:val="000000" w:themeColor="text1"/>
          <w:sz w:val="36"/>
          <w:szCs w:val="36"/>
          <w:highlight w:val="none"/>
          <w14:textFill>
            <w14:solidFill>
              <w14:schemeClr w14:val="tx1"/>
            </w14:solidFill>
          </w14:textFill>
        </w:rPr>
        <w:br w:type="page"/>
      </w:r>
    </w:p>
    <w:p w14:paraId="48571CA2">
      <w:pPr>
        <w:outlineLvl w:val="0"/>
        <w:rPr>
          <w:rStyle w:val="62"/>
          <w:rFonts w:ascii="仿宋" w:hAnsi="仿宋" w:eastAsia="仿宋" w:cs="仿宋"/>
          <w:color w:val="000000" w:themeColor="text1"/>
          <w:sz w:val="24"/>
          <w:szCs w:val="24"/>
          <w:highlight w:val="none"/>
          <w14:textFill>
            <w14:solidFill>
              <w14:schemeClr w14:val="tx1"/>
            </w14:solidFill>
          </w14:textFill>
        </w:rPr>
      </w:pPr>
      <w:bookmarkStart w:id="374" w:name="_Toc1011"/>
      <w:r>
        <w:rPr>
          <w:rStyle w:val="62"/>
          <w:rFonts w:hint="eastAsia" w:ascii="仿宋" w:hAnsi="仿宋" w:eastAsia="仿宋" w:cs="仿宋"/>
          <w:color w:val="000000" w:themeColor="text1"/>
          <w:sz w:val="24"/>
          <w:szCs w:val="24"/>
          <w:highlight w:val="none"/>
          <w14:textFill>
            <w14:solidFill>
              <w14:schemeClr w14:val="tx1"/>
            </w14:solidFill>
          </w14:textFill>
        </w:rPr>
        <w:t>附件5-1</w:t>
      </w:r>
      <w:bookmarkEnd w:id="342"/>
      <w:bookmarkEnd w:id="343"/>
      <w:bookmarkEnd w:id="344"/>
      <w:bookmarkEnd w:id="345"/>
      <w:bookmarkEnd w:id="346"/>
      <w:bookmarkEnd w:id="347"/>
      <w:bookmarkEnd w:id="348"/>
      <w:bookmarkEnd w:id="349"/>
      <w:bookmarkEnd w:id="350"/>
      <w:bookmarkEnd w:id="351"/>
      <w:bookmarkEnd w:id="352"/>
      <w:bookmarkEnd w:id="353"/>
      <w:bookmarkEnd w:id="370"/>
      <w:r>
        <w:rPr>
          <w:rStyle w:val="62"/>
          <w:rFonts w:hint="eastAsia" w:ascii="仿宋" w:hAnsi="仿宋" w:eastAsia="仿宋" w:cs="仿宋"/>
          <w:color w:val="000000" w:themeColor="text1"/>
          <w:sz w:val="24"/>
          <w:szCs w:val="24"/>
          <w:highlight w:val="none"/>
          <w14:textFill>
            <w14:solidFill>
              <w14:schemeClr w14:val="tx1"/>
            </w14:solidFill>
          </w14:textFill>
        </w:rPr>
        <w:t xml:space="preserve"> 企业法人营业执照、事业单位法人证书或登记证</w:t>
      </w:r>
      <w:bookmarkEnd w:id="371"/>
      <w:bookmarkEnd w:id="372"/>
      <w:bookmarkEnd w:id="374"/>
    </w:p>
    <w:p w14:paraId="2CF49F2F">
      <w:pPr>
        <w:pStyle w:val="32"/>
        <w:ind w:left="480" w:firstLine="640"/>
        <w:rPr>
          <w:rFonts w:ascii="仿宋" w:hAnsi="仿宋"/>
          <w:color w:val="000000" w:themeColor="text1"/>
          <w:highlight w:val="none"/>
          <w14:textFill>
            <w14:solidFill>
              <w14:schemeClr w14:val="tx1"/>
            </w14:solidFill>
          </w14:textFill>
        </w:rPr>
      </w:pPr>
    </w:p>
    <w:p w14:paraId="7A407307">
      <w:pPr>
        <w:spacing w:line="360" w:lineRule="auto"/>
        <w:jc w:val="center"/>
        <w:outlineLvl w:val="1"/>
        <w:rPr>
          <w:rFonts w:ascii="仿宋" w:hAnsi="仿宋" w:cs="仿宋"/>
          <w:color w:val="000000" w:themeColor="text1"/>
          <w:highlight w:val="none"/>
          <w14:textFill>
            <w14:solidFill>
              <w14:schemeClr w14:val="tx1"/>
            </w14:solidFill>
          </w14:textFill>
        </w:rPr>
      </w:pPr>
      <w:bookmarkStart w:id="375" w:name="_Toc149230424"/>
      <w:bookmarkStart w:id="376" w:name="_Toc6626"/>
      <w:bookmarkStart w:id="377" w:name="_Toc150933643"/>
      <w:r>
        <w:rPr>
          <w:rFonts w:hint="eastAsia" w:ascii="仿宋" w:hAnsi="仿宋" w:cs="仿宋"/>
          <w:bCs/>
          <w:color w:val="000000" w:themeColor="text1"/>
          <w:highlight w:val="none"/>
          <w14:textFill>
            <w14:solidFill>
              <w14:schemeClr w14:val="tx1"/>
            </w14:solidFill>
          </w14:textFill>
        </w:rPr>
        <w:t>投标人如为企业法人，须提供企业法人营业执照复印件（</w:t>
      </w:r>
      <w:bookmarkStart w:id="378" w:name="_Toc108796170"/>
      <w:bookmarkStart w:id="379" w:name="_Toc560"/>
      <w:r>
        <w:rPr>
          <w:rFonts w:hint="eastAsia" w:ascii="仿宋" w:hAnsi="仿宋" w:cs="仿宋"/>
          <w:color w:val="000000" w:themeColor="text1"/>
          <w:highlight w:val="none"/>
          <w14:textFill>
            <w14:solidFill>
              <w14:schemeClr w14:val="tx1"/>
            </w14:solidFill>
          </w14:textFill>
        </w:rPr>
        <w:t>二维码清晰可以扫描查询）</w:t>
      </w:r>
      <w:bookmarkEnd w:id="378"/>
      <w:bookmarkEnd w:id="379"/>
      <w:r>
        <w:rPr>
          <w:rFonts w:hint="eastAsia" w:ascii="仿宋" w:hAnsi="仿宋" w:cs="仿宋"/>
          <w:bCs/>
          <w:color w:val="000000" w:themeColor="text1"/>
          <w:highlight w:val="none"/>
          <w14:textFill>
            <w14:solidFill>
              <w14:schemeClr w14:val="tx1"/>
            </w14:solidFill>
          </w14:textFill>
        </w:rPr>
        <w:t>；投标人如为事业单位或其他非法人组织，须提供事业法人证书或登记证或其他有效证明文件复印件（须提供副本的复印件）</w:t>
      </w:r>
      <w:bookmarkEnd w:id="375"/>
      <w:bookmarkEnd w:id="376"/>
      <w:bookmarkEnd w:id="377"/>
    </w:p>
    <w:p w14:paraId="4F3DFD08">
      <w:pPr>
        <w:outlineLvl w:val="0"/>
        <w:rPr>
          <w:rStyle w:val="62"/>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cs="仿宋"/>
          <w:color w:val="000000" w:themeColor="text1"/>
          <w:highlight w:val="none"/>
          <w:u w:val="single"/>
          <w14:textFill>
            <w14:solidFill>
              <w14:schemeClr w14:val="tx1"/>
            </w14:solidFill>
          </w14:textFill>
        </w:rPr>
        <w:br w:type="page"/>
      </w:r>
      <w:bookmarkStart w:id="380" w:name="_Toc16412"/>
      <w:bookmarkStart w:id="381" w:name="_Toc26651"/>
      <w:bookmarkStart w:id="382" w:name="_Toc3470"/>
      <w:bookmarkStart w:id="383" w:name="_Toc2067"/>
      <w:bookmarkStart w:id="384" w:name="_Toc23042"/>
      <w:bookmarkStart w:id="385" w:name="_Toc11311"/>
      <w:bookmarkStart w:id="386" w:name="_Toc29485"/>
      <w:bookmarkStart w:id="387" w:name="_Toc108796171"/>
      <w:bookmarkStart w:id="388" w:name="_Toc149230425"/>
      <w:bookmarkStart w:id="389" w:name="_Toc11618"/>
      <w:bookmarkStart w:id="390" w:name="_Toc19024"/>
      <w:bookmarkStart w:id="391" w:name="_Toc150933644"/>
      <w:bookmarkStart w:id="392" w:name="_Toc299646836"/>
      <w:bookmarkStart w:id="393" w:name="_Toc32443"/>
      <w:bookmarkStart w:id="394" w:name="_Toc15783"/>
      <w:bookmarkStart w:id="395" w:name="_Toc31522"/>
      <w:r>
        <w:rPr>
          <w:rStyle w:val="62"/>
          <w:rFonts w:hint="eastAsia" w:ascii="仿宋" w:hAnsi="仿宋" w:eastAsia="仿宋" w:cs="仿宋"/>
          <w:color w:val="000000" w:themeColor="text1"/>
          <w:sz w:val="24"/>
          <w:szCs w:val="24"/>
          <w:highlight w:val="none"/>
          <w14:textFill>
            <w14:solidFill>
              <w14:schemeClr w14:val="tx1"/>
            </w14:solidFill>
          </w14:textFill>
        </w:rPr>
        <w:t>附件5-2 法定代表人（或单位负责人）授权书</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6563E83A">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 xml:space="preserve"> </w:t>
      </w:r>
    </w:p>
    <w:p w14:paraId="35A26A2B">
      <w:pPr>
        <w:spacing w:line="360" w:lineRule="auto"/>
        <w:jc w:val="center"/>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 xml:space="preserve"> </w:t>
      </w:r>
    </w:p>
    <w:p w14:paraId="4B73AA81">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本授权书声明：注册于[</w:t>
      </w:r>
      <w:r>
        <w:rPr>
          <w:rFonts w:hint="eastAsia" w:ascii="仿宋" w:hAnsi="仿宋" w:cs="仿宋"/>
          <w:color w:val="000000" w:themeColor="text1"/>
          <w:highlight w:val="none"/>
          <w:u w:val="single"/>
          <w14:textFill>
            <w14:solidFill>
              <w14:schemeClr w14:val="tx1"/>
            </w14:solidFill>
          </w14:textFill>
        </w:rPr>
        <w:t>国家或地区的名称</w:t>
      </w:r>
      <w:r>
        <w:rPr>
          <w:rFonts w:hint="eastAsia" w:ascii="仿宋" w:hAnsi="仿宋" w:cs="仿宋"/>
          <w:color w:val="000000" w:themeColor="text1"/>
          <w:highlight w:val="none"/>
          <w14:textFill>
            <w14:solidFill>
              <w14:schemeClr w14:val="tx1"/>
            </w14:solidFill>
          </w14:textFill>
        </w:rPr>
        <w:t>]的[</w:t>
      </w:r>
      <w:r>
        <w:rPr>
          <w:rFonts w:hint="eastAsia" w:ascii="仿宋" w:hAnsi="仿宋" w:cs="仿宋"/>
          <w:color w:val="000000" w:themeColor="text1"/>
          <w:highlight w:val="none"/>
          <w:u w:val="single"/>
          <w14:textFill>
            <w14:solidFill>
              <w14:schemeClr w14:val="tx1"/>
            </w14:solidFill>
          </w14:textFill>
        </w:rPr>
        <w:t>公司名称</w:t>
      </w:r>
      <w:r>
        <w:rPr>
          <w:rFonts w:hint="eastAsia" w:ascii="仿宋" w:hAnsi="仿宋" w:cs="仿宋"/>
          <w:color w:val="000000" w:themeColor="text1"/>
          <w:highlight w:val="none"/>
          <w14:textFill>
            <w14:solidFill>
              <w14:schemeClr w14:val="tx1"/>
            </w14:solidFill>
          </w14:textFill>
        </w:rPr>
        <w:t>]的在下面签字或签章的[</w:t>
      </w:r>
      <w:r>
        <w:rPr>
          <w:rFonts w:hint="eastAsia" w:ascii="仿宋" w:hAnsi="仿宋" w:cs="仿宋"/>
          <w:color w:val="000000" w:themeColor="text1"/>
          <w:highlight w:val="none"/>
          <w:u w:val="single"/>
          <w14:textFill>
            <w14:solidFill>
              <w14:schemeClr w14:val="tx1"/>
            </w14:solidFill>
          </w14:textFill>
        </w:rPr>
        <w:t>法定代表人（或单位负责人）姓名、职务</w:t>
      </w:r>
      <w:r>
        <w:rPr>
          <w:rFonts w:hint="eastAsia" w:ascii="仿宋" w:hAnsi="仿宋" w:cs="仿宋"/>
          <w:color w:val="000000" w:themeColor="text1"/>
          <w:highlight w:val="none"/>
          <w14:textFill>
            <w14:solidFill>
              <w14:schemeClr w14:val="tx1"/>
            </w14:solidFill>
          </w14:textFill>
        </w:rPr>
        <w:t>]代表本公司授权[</w:t>
      </w:r>
      <w:r>
        <w:rPr>
          <w:rFonts w:hint="eastAsia" w:ascii="仿宋" w:hAnsi="仿宋" w:cs="仿宋"/>
          <w:color w:val="000000" w:themeColor="text1"/>
          <w:highlight w:val="none"/>
          <w:u w:val="single"/>
          <w14:textFill>
            <w14:solidFill>
              <w14:schemeClr w14:val="tx1"/>
            </w14:solidFill>
          </w14:textFill>
        </w:rPr>
        <w:t>单位名称</w:t>
      </w:r>
      <w:r>
        <w:rPr>
          <w:rFonts w:hint="eastAsia" w:ascii="仿宋" w:hAnsi="仿宋" w:cs="仿宋"/>
          <w:color w:val="000000" w:themeColor="text1"/>
          <w:highlight w:val="none"/>
          <w14:textFill>
            <w14:solidFill>
              <w14:schemeClr w14:val="tx1"/>
            </w14:solidFill>
          </w14:textFill>
        </w:rPr>
        <w:t>]的在下面签字的[</w:t>
      </w:r>
      <w:r>
        <w:rPr>
          <w:rFonts w:hint="eastAsia" w:ascii="仿宋" w:hAnsi="仿宋" w:cs="仿宋"/>
          <w:color w:val="000000" w:themeColor="text1"/>
          <w:highlight w:val="none"/>
          <w:u w:val="single"/>
          <w14:textFill>
            <w14:solidFill>
              <w14:schemeClr w14:val="tx1"/>
            </w14:solidFill>
          </w14:textFill>
        </w:rPr>
        <w:t>被授权人的姓名、职务</w:t>
      </w:r>
      <w:r>
        <w:rPr>
          <w:rFonts w:hint="eastAsia" w:ascii="仿宋" w:hAnsi="仿宋" w:cs="仿宋"/>
          <w:color w:val="000000" w:themeColor="text1"/>
          <w:highlight w:val="none"/>
          <w14:textFill>
            <w14:solidFill>
              <w14:schemeClr w14:val="tx1"/>
            </w14:solidFill>
          </w14:textFill>
        </w:rPr>
        <w:t>]为本公司的合法代理人，就[</w:t>
      </w:r>
      <w:r>
        <w:rPr>
          <w:rFonts w:hint="eastAsia" w:ascii="仿宋" w:hAnsi="仿宋" w:cs="仿宋"/>
          <w:color w:val="000000" w:themeColor="text1"/>
          <w:highlight w:val="none"/>
          <w:u w:val="single"/>
          <w14:textFill>
            <w14:solidFill>
              <w14:schemeClr w14:val="tx1"/>
            </w14:solidFill>
          </w14:textFill>
        </w:rPr>
        <w:t>项目名称、招标编号</w:t>
      </w:r>
      <w:r>
        <w:rPr>
          <w:rFonts w:hint="eastAsia" w:ascii="仿宋" w:hAnsi="仿宋" w:cs="仿宋"/>
          <w:color w:val="000000" w:themeColor="text1"/>
          <w:highlight w:val="none"/>
          <w14:textFill>
            <w14:solidFill>
              <w14:schemeClr w14:val="tx1"/>
            </w14:solidFill>
          </w14:textFill>
        </w:rPr>
        <w:t>]进行投标，以本公司名义处理一切与之有关的事务。</w:t>
      </w:r>
    </w:p>
    <w:p w14:paraId="5E29BAEE">
      <w:pPr>
        <w:spacing w:after="7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本授权书经签署盖章生效，特此声明。</w:t>
      </w:r>
    </w:p>
    <w:p w14:paraId="2B14F71D">
      <w:pPr>
        <w:spacing w:line="36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投标人名称（盖章）</w:t>
      </w:r>
      <w:r>
        <w:rPr>
          <w:rFonts w:hint="eastAsia" w:ascii="仿宋" w:hAnsi="仿宋" w:cs="仿宋"/>
          <w:color w:val="000000" w:themeColor="text1"/>
          <w:highlight w:val="none"/>
          <w:u w:val="single"/>
          <w14:textFill>
            <w14:solidFill>
              <w14:schemeClr w14:val="tx1"/>
            </w14:solidFill>
          </w14:textFill>
        </w:rPr>
        <w:t xml:space="preserve">                            </w:t>
      </w:r>
    </w:p>
    <w:p w14:paraId="34652F91">
      <w:pPr>
        <w:spacing w:line="36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法定代表人（或单位负责人）签字或签章</w:t>
      </w:r>
      <w:r>
        <w:rPr>
          <w:rFonts w:hint="eastAsia" w:ascii="仿宋" w:hAnsi="仿宋" w:cs="仿宋"/>
          <w:color w:val="000000" w:themeColor="text1"/>
          <w:highlight w:val="none"/>
          <w:u w:val="single"/>
          <w14:textFill>
            <w14:solidFill>
              <w14:schemeClr w14:val="tx1"/>
            </w14:solidFill>
          </w14:textFill>
        </w:rPr>
        <w:t xml:space="preserve">                          </w:t>
      </w:r>
    </w:p>
    <w:p w14:paraId="2B47481E">
      <w:pPr>
        <w:spacing w:line="36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被授权人（投标人授权代表）签字</w:t>
      </w:r>
      <w:r>
        <w:rPr>
          <w:rFonts w:hint="eastAsia" w:ascii="仿宋" w:hAnsi="仿宋" w:cs="仿宋"/>
          <w:color w:val="000000" w:themeColor="text1"/>
          <w:highlight w:val="none"/>
          <w:u w:val="single"/>
          <w14:textFill>
            <w14:solidFill>
              <w14:schemeClr w14:val="tx1"/>
            </w14:solidFill>
          </w14:textFill>
        </w:rPr>
        <w:t xml:space="preserve">               </w:t>
      </w:r>
    </w:p>
    <w:p w14:paraId="08D55CAB">
      <w:pPr>
        <w:pStyle w:val="32"/>
        <w:ind w:left="480" w:firstLine="640"/>
        <w:rPr>
          <w:rFonts w:ascii="仿宋" w:hAnsi="仿宋" w:cs="仿宋"/>
          <w:color w:val="000000" w:themeColor="text1"/>
          <w:highlight w:val="none"/>
          <w14:textFill>
            <w14:solidFill>
              <w14:schemeClr w14:val="tx1"/>
            </w14:solidFill>
          </w14:textFill>
        </w:rPr>
      </w:pPr>
    </w:p>
    <w:p w14:paraId="34DACA4C">
      <w:pPr>
        <w:pStyle w:val="32"/>
        <w:spacing w:line="360" w:lineRule="auto"/>
        <w:ind w:left="0" w:leftChars="0" w:firstLine="0" w:firstLineChars="0"/>
        <w:rPr>
          <w:rFonts w:ascii="仿宋" w:hAnsi="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14:textFill>
            <w14:solidFill>
              <w14:schemeClr w14:val="tx1"/>
            </w14:solidFill>
          </w14:textFill>
        </w:rPr>
        <w:t>说明：</w:t>
      </w:r>
    </w:p>
    <w:p w14:paraId="7EFA875E">
      <w:pPr>
        <w:pStyle w:val="32"/>
        <w:numPr>
          <w:ilvl w:val="0"/>
          <w:numId w:val="59"/>
        </w:numPr>
        <w:spacing w:line="360" w:lineRule="auto"/>
        <w:ind w:left="480" w:firstLine="314" w:firstLineChars="131"/>
        <w:rPr>
          <w:rFonts w:ascii="仿宋" w:hAnsi="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14:textFill>
            <w14:solidFill>
              <w14:schemeClr w14:val="tx1"/>
            </w14:solidFill>
          </w14:textFill>
        </w:rPr>
        <w:t>若投标人为事业单位或其他非法人组织或分支机构（仅当招标文件注明允许分支机构投标的），则法定代表人（或单位负责人）处的签署人可为单位负责人。</w:t>
      </w:r>
    </w:p>
    <w:p w14:paraId="28901684">
      <w:pPr>
        <w:pStyle w:val="32"/>
        <w:numPr>
          <w:ilvl w:val="0"/>
          <w:numId w:val="59"/>
        </w:numPr>
        <w:spacing w:line="360" w:lineRule="auto"/>
        <w:ind w:left="480" w:firstLine="314" w:firstLineChars="131"/>
        <w:rPr>
          <w:rFonts w:ascii="仿宋" w:hAnsi="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14:textFill>
            <w14:solidFill>
              <w14:schemeClr w14:val="tx1"/>
            </w14:solidFill>
          </w14:textFill>
        </w:rPr>
        <w:t>若投标文件中签字之处均为法定代表人（或单位负责人）本人签署，则可不提供本授权书，但须提供《法定代表人（或单位负责人）身份证明》（实质性格式）。</w:t>
      </w:r>
    </w:p>
    <w:p w14:paraId="46AA97CB">
      <w:pPr>
        <w:pStyle w:val="32"/>
        <w:numPr>
          <w:ilvl w:val="0"/>
          <w:numId w:val="59"/>
        </w:numPr>
        <w:spacing w:line="360" w:lineRule="auto"/>
        <w:ind w:left="480" w:firstLine="314" w:firstLineChars="131"/>
        <w:rPr>
          <w:rFonts w:ascii="仿宋" w:hAnsi="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14:textFill>
            <w14:solidFill>
              <w14:schemeClr w14:val="tx1"/>
            </w14:solidFill>
          </w14:textFill>
        </w:rPr>
        <w:t>若投标人为自然人的情形，可不提供本授权书。</w:t>
      </w:r>
    </w:p>
    <w:p w14:paraId="7E6CB2D9">
      <w:pPr>
        <w:pStyle w:val="32"/>
        <w:numPr>
          <w:ilvl w:val="0"/>
          <w:numId w:val="59"/>
        </w:numPr>
        <w:spacing w:line="360" w:lineRule="auto"/>
        <w:ind w:left="480" w:firstLine="316" w:firstLineChars="131"/>
        <w:rPr>
          <w:rFonts w:ascii="仿宋" w:hAnsi="仿宋" w:cs="仿宋"/>
          <w:b/>
          <w:bCs/>
          <w:color w:val="000000" w:themeColor="text1"/>
          <w:sz w:val="24"/>
          <w:szCs w:val="24"/>
          <w:highlight w:val="none"/>
          <w14:textFill>
            <w14:solidFill>
              <w14:schemeClr w14:val="tx1"/>
            </w14:solidFill>
          </w14:textFill>
        </w:rPr>
      </w:pPr>
      <w:r>
        <w:rPr>
          <w:rFonts w:hint="eastAsia" w:ascii="仿宋" w:hAnsi="仿宋" w:cs="仿宋"/>
          <w:b/>
          <w:bCs/>
          <w:i/>
          <w:iCs/>
          <w:color w:val="000000" w:themeColor="text1"/>
          <w:sz w:val="24"/>
          <w:szCs w:val="24"/>
          <w:highlight w:val="none"/>
          <w14:textFill>
            <w14:solidFill>
              <w14:schemeClr w14:val="tx1"/>
            </w14:solidFill>
          </w14:textFill>
        </w:rPr>
        <w:t>投标人</w:t>
      </w:r>
      <w:r>
        <w:rPr>
          <w:rFonts w:hint="eastAsia" w:ascii="仿宋" w:hAnsi="仿宋" w:cs="仿宋"/>
          <w:b/>
          <w:bCs/>
          <w:i/>
          <w:iCs/>
          <w:color w:val="000000" w:themeColor="text1"/>
          <w:sz w:val="24"/>
          <w:szCs w:val="24"/>
          <w:highlight w:val="none"/>
          <w:lang w:eastAsia="zh-CN"/>
          <w14:textFill>
            <w14:solidFill>
              <w14:schemeClr w14:val="tx1"/>
            </w14:solidFill>
          </w14:textFill>
        </w:rPr>
        <w:t>须</w:t>
      </w:r>
      <w:r>
        <w:rPr>
          <w:rFonts w:hint="eastAsia" w:ascii="仿宋" w:hAnsi="仿宋" w:cs="仿宋"/>
          <w:b/>
          <w:bCs/>
          <w:i/>
          <w:iCs/>
          <w:color w:val="000000" w:themeColor="text1"/>
          <w:sz w:val="24"/>
          <w:szCs w:val="24"/>
          <w:highlight w:val="none"/>
          <w:lang w:val="en-US" w:eastAsia="zh-CN"/>
          <w14:textFill>
            <w14:solidFill>
              <w14:schemeClr w14:val="tx1"/>
            </w14:solidFill>
          </w14:textFill>
        </w:rPr>
        <w:t>提供</w:t>
      </w:r>
      <w:r>
        <w:rPr>
          <w:rFonts w:hint="eastAsia" w:ascii="仿宋" w:hAnsi="仿宋" w:cs="仿宋"/>
          <w:b/>
          <w:bCs/>
          <w:i/>
          <w:iCs/>
          <w:color w:val="000000" w:themeColor="text1"/>
          <w:sz w:val="24"/>
          <w:szCs w:val="24"/>
          <w:highlight w:val="none"/>
          <w14:textFill>
            <w14:solidFill>
              <w14:schemeClr w14:val="tx1"/>
            </w14:solidFill>
          </w14:textFill>
        </w:rPr>
        <w:t>被授权人身份证复印件（正反面）</w:t>
      </w:r>
      <w:r>
        <w:rPr>
          <w:rFonts w:hint="eastAsia" w:ascii="仿宋" w:hAnsi="仿宋" w:cs="仿宋"/>
          <w:b/>
          <w:bCs/>
          <w:i/>
          <w:iCs/>
          <w:color w:val="000000" w:themeColor="text1"/>
          <w:sz w:val="24"/>
          <w:szCs w:val="24"/>
          <w:highlight w:val="none"/>
          <w:lang w:eastAsia="zh-CN"/>
          <w14:textFill>
            <w14:solidFill>
              <w14:schemeClr w14:val="tx1"/>
            </w14:solidFill>
          </w14:textFill>
        </w:rPr>
        <w:t>及</w:t>
      </w:r>
      <w:r>
        <w:rPr>
          <w:rFonts w:hint="default" w:ascii="仿宋" w:hAnsi="仿宋" w:cs="仿宋"/>
          <w:b/>
          <w:bCs/>
          <w:i/>
          <w:iCs/>
          <w:color w:val="000000" w:themeColor="text1"/>
          <w:sz w:val="24"/>
          <w:szCs w:val="24"/>
          <w:highlight w:val="none"/>
          <w:lang w:val="en-US" w:eastAsia="zh-CN"/>
          <w14:textFill>
            <w14:solidFill>
              <w14:schemeClr w14:val="tx1"/>
            </w14:solidFill>
          </w14:textFill>
        </w:rPr>
        <w:t>被授权人</w:t>
      </w:r>
      <w:r>
        <w:rPr>
          <w:rFonts w:hint="default" w:ascii="仿宋" w:hAnsi="仿宋" w:eastAsia="仿宋" w:cs="仿宋"/>
          <w:b/>
          <w:bCs/>
          <w:i/>
          <w:iCs/>
          <w:color w:val="000000" w:themeColor="text1"/>
          <w:sz w:val="24"/>
          <w:szCs w:val="24"/>
          <w:highlight w:val="none"/>
          <w14:textFill>
            <w14:solidFill>
              <w14:schemeClr w14:val="tx1"/>
            </w14:solidFill>
          </w14:textFill>
        </w:rPr>
        <w:t>近</w:t>
      </w:r>
      <w:r>
        <w:rPr>
          <w:rFonts w:hint="eastAsia" w:ascii="仿宋" w:hAnsi="仿宋" w:cs="仿宋"/>
          <w:b/>
          <w:bCs/>
          <w:i/>
          <w:iCs/>
          <w:color w:val="000000" w:themeColor="text1"/>
          <w:sz w:val="24"/>
          <w:szCs w:val="24"/>
          <w:highlight w:val="none"/>
          <w:lang w:val="en-US" w:eastAsia="zh-CN"/>
          <w14:textFill>
            <w14:solidFill>
              <w14:schemeClr w14:val="tx1"/>
            </w14:solidFill>
          </w14:textFill>
        </w:rPr>
        <w:t>6</w:t>
      </w:r>
      <w:r>
        <w:rPr>
          <w:rFonts w:hint="default" w:ascii="仿宋" w:hAnsi="仿宋" w:eastAsia="仿宋" w:cs="仿宋"/>
          <w:b/>
          <w:bCs/>
          <w:i/>
          <w:iCs/>
          <w:color w:val="000000" w:themeColor="text1"/>
          <w:sz w:val="24"/>
          <w:szCs w:val="24"/>
          <w:highlight w:val="none"/>
          <w14:textFill>
            <w14:solidFill>
              <w14:schemeClr w14:val="tx1"/>
            </w14:solidFill>
          </w14:textFill>
        </w:rPr>
        <w:t>个月内</w:t>
      </w:r>
      <w:r>
        <w:rPr>
          <w:rFonts w:hint="eastAsia" w:ascii="仿宋" w:hAnsi="仿宋" w:cs="仿宋"/>
          <w:b/>
          <w:bCs/>
          <w:i/>
          <w:iCs/>
          <w:color w:val="000000" w:themeColor="text1"/>
          <w:sz w:val="24"/>
          <w:szCs w:val="24"/>
          <w:highlight w:val="none"/>
          <w:lang w:eastAsia="zh-CN"/>
          <w14:textFill>
            <w14:solidFill>
              <w14:schemeClr w14:val="tx1"/>
            </w14:solidFill>
          </w14:textFill>
        </w:rPr>
        <w:t>连续</w:t>
      </w:r>
      <w:r>
        <w:rPr>
          <w:rFonts w:hint="eastAsia" w:ascii="仿宋" w:hAnsi="仿宋" w:cs="仿宋"/>
          <w:b/>
          <w:bCs/>
          <w:i/>
          <w:iCs/>
          <w:color w:val="000000" w:themeColor="text1"/>
          <w:sz w:val="24"/>
          <w:szCs w:val="24"/>
          <w:highlight w:val="none"/>
          <w:lang w:val="en-US" w:eastAsia="zh-CN"/>
          <w14:textFill>
            <w14:solidFill>
              <w14:schemeClr w14:val="tx1"/>
            </w14:solidFill>
          </w14:textFill>
        </w:rPr>
        <w:t>3个月</w:t>
      </w:r>
      <w:r>
        <w:rPr>
          <w:rFonts w:hint="default" w:ascii="仿宋" w:hAnsi="仿宋" w:cs="仿宋"/>
          <w:b/>
          <w:bCs/>
          <w:i/>
          <w:iCs/>
          <w:color w:val="000000" w:themeColor="text1"/>
          <w:sz w:val="24"/>
          <w:szCs w:val="24"/>
          <w:highlight w:val="none"/>
          <w:lang w:eastAsia="zh-CN"/>
          <w14:textFill>
            <w14:solidFill>
              <w14:schemeClr w14:val="tx1"/>
            </w14:solidFill>
          </w14:textFill>
        </w:rPr>
        <w:t>（不含投标截止时间当月）</w:t>
      </w:r>
      <w:r>
        <w:rPr>
          <w:rFonts w:hint="default" w:ascii="仿宋" w:hAnsi="仿宋" w:eastAsia="仿宋" w:cs="仿宋"/>
          <w:b/>
          <w:bCs/>
          <w:i/>
          <w:iCs/>
          <w:color w:val="000000" w:themeColor="text1"/>
          <w:sz w:val="24"/>
          <w:szCs w:val="24"/>
          <w:highlight w:val="none"/>
          <w:lang w:eastAsia="zh-CN"/>
          <w14:textFill>
            <w14:solidFill>
              <w14:schemeClr w14:val="tx1"/>
            </w14:solidFill>
          </w14:textFill>
        </w:rPr>
        <w:t>在</w:t>
      </w:r>
      <w:r>
        <w:rPr>
          <w:rFonts w:hint="default" w:ascii="仿宋" w:hAnsi="仿宋" w:cs="仿宋"/>
          <w:b/>
          <w:bCs/>
          <w:i/>
          <w:iCs/>
          <w:color w:val="000000" w:themeColor="text1"/>
          <w:sz w:val="24"/>
          <w:szCs w:val="24"/>
          <w:highlight w:val="none"/>
          <w:lang w:eastAsia="zh-CN"/>
          <w14:textFill>
            <w14:solidFill>
              <w14:schemeClr w14:val="tx1"/>
            </w14:solidFill>
          </w14:textFill>
        </w:rPr>
        <w:t>投标人</w:t>
      </w:r>
      <w:r>
        <w:rPr>
          <w:rFonts w:hint="eastAsia" w:ascii="仿宋" w:hAnsi="仿宋" w:cs="仿宋"/>
          <w:b/>
          <w:bCs/>
          <w:i/>
          <w:iCs/>
          <w:color w:val="000000" w:themeColor="text1"/>
          <w:sz w:val="24"/>
          <w:szCs w:val="24"/>
          <w:highlight w:val="none"/>
          <w:lang w:eastAsia="zh-CN"/>
          <w14:textFill>
            <w14:solidFill>
              <w14:schemeClr w14:val="tx1"/>
            </w14:solidFill>
          </w14:textFill>
        </w:rPr>
        <w:t>单位</w:t>
      </w:r>
      <w:r>
        <w:rPr>
          <w:rFonts w:hint="default" w:ascii="仿宋" w:hAnsi="仿宋" w:eastAsia="仿宋" w:cs="仿宋"/>
          <w:b/>
          <w:bCs/>
          <w:i/>
          <w:iCs/>
          <w:color w:val="000000" w:themeColor="text1"/>
          <w:sz w:val="24"/>
          <w:szCs w:val="24"/>
          <w:highlight w:val="none"/>
          <w:lang w:eastAsia="zh-CN"/>
          <w14:textFill>
            <w14:solidFill>
              <w14:schemeClr w14:val="tx1"/>
            </w14:solidFill>
          </w14:textFill>
        </w:rPr>
        <w:t>缴交的</w:t>
      </w:r>
      <w:r>
        <w:rPr>
          <w:rFonts w:hint="default" w:ascii="仿宋" w:hAnsi="仿宋" w:eastAsia="仿宋" w:cs="仿宋"/>
          <w:b/>
          <w:bCs/>
          <w:i/>
          <w:iCs/>
          <w:color w:val="000000" w:themeColor="text1"/>
          <w:sz w:val="24"/>
          <w:szCs w:val="24"/>
          <w:highlight w:val="none"/>
          <w14:textFill>
            <w14:solidFill>
              <w14:schemeClr w14:val="tx1"/>
            </w14:solidFill>
          </w14:textFill>
        </w:rPr>
        <w:t>社保</w:t>
      </w:r>
      <w:r>
        <w:rPr>
          <w:rFonts w:hint="default" w:ascii="仿宋" w:hAnsi="仿宋" w:cs="仿宋"/>
          <w:b/>
          <w:bCs/>
          <w:i/>
          <w:iCs/>
          <w:color w:val="000000" w:themeColor="text1"/>
          <w:sz w:val="24"/>
          <w:szCs w:val="24"/>
          <w:highlight w:val="none"/>
          <w:lang w:eastAsia="zh-CN"/>
          <w14:textFill>
            <w14:solidFill>
              <w14:schemeClr w14:val="tx1"/>
            </w14:solidFill>
          </w14:textFill>
        </w:rPr>
        <w:t>证明材料</w:t>
      </w:r>
      <w:r>
        <w:rPr>
          <w:rFonts w:hint="eastAsia" w:ascii="仿宋" w:hAnsi="仿宋" w:cs="仿宋"/>
          <w:b/>
          <w:bCs/>
          <w:i/>
          <w:iCs/>
          <w:color w:val="000000" w:themeColor="text1"/>
          <w:sz w:val="24"/>
          <w:szCs w:val="24"/>
          <w:highlight w:val="none"/>
          <w:lang w:eastAsia="zh-CN"/>
          <w14:textFill>
            <w14:solidFill>
              <w14:schemeClr w14:val="tx1"/>
            </w14:solidFill>
          </w14:textFill>
        </w:rPr>
        <w:t>。</w:t>
      </w:r>
    </w:p>
    <w:p w14:paraId="51004FE3">
      <w:pPr>
        <w:pStyle w:val="32"/>
        <w:widowControl w:val="0"/>
        <w:numPr>
          <w:ilvl w:val="0"/>
          <w:numId w:val="0"/>
        </w:numPr>
        <w:spacing w:after="120" w:line="360" w:lineRule="auto"/>
        <w:jc w:val="both"/>
        <w:rPr>
          <w:rFonts w:hint="eastAsia" w:ascii="仿宋" w:hAnsi="仿宋" w:cs="仿宋"/>
          <w:b/>
          <w:bCs/>
          <w:i/>
          <w:iCs/>
          <w:color w:val="000000" w:themeColor="text1"/>
          <w:sz w:val="24"/>
          <w:szCs w:val="24"/>
          <w:highlight w:val="none"/>
          <w:lang w:eastAsia="zh-CN"/>
          <w14:textFill>
            <w14:solidFill>
              <w14:schemeClr w14:val="tx1"/>
            </w14:solidFill>
          </w14:textFill>
        </w:rPr>
      </w:pPr>
    </w:p>
    <w:p w14:paraId="4273A5D8">
      <w:pPr>
        <w:pStyle w:val="32"/>
        <w:widowControl w:val="0"/>
        <w:numPr>
          <w:ilvl w:val="0"/>
          <w:numId w:val="0"/>
        </w:numPr>
        <w:spacing w:after="120" w:line="360" w:lineRule="auto"/>
        <w:jc w:val="both"/>
        <w:rPr>
          <w:rFonts w:hint="eastAsia" w:ascii="仿宋" w:hAnsi="仿宋" w:cs="仿宋"/>
          <w:b/>
          <w:bCs/>
          <w:i/>
          <w:iCs/>
          <w:color w:val="000000" w:themeColor="text1"/>
          <w:sz w:val="24"/>
          <w:szCs w:val="24"/>
          <w:highlight w:val="none"/>
          <w:lang w:eastAsia="zh-CN"/>
          <w14:textFill>
            <w14:solidFill>
              <w14:schemeClr w14:val="tx1"/>
            </w14:solidFill>
          </w14:textFill>
        </w:rPr>
      </w:pPr>
    </w:p>
    <w:p w14:paraId="5F998F77">
      <w:pPr>
        <w:pStyle w:val="32"/>
        <w:widowControl w:val="0"/>
        <w:numPr>
          <w:ilvl w:val="0"/>
          <w:numId w:val="0"/>
        </w:numPr>
        <w:spacing w:after="120" w:line="360" w:lineRule="auto"/>
        <w:jc w:val="both"/>
        <w:rPr>
          <w:rFonts w:hint="eastAsia" w:ascii="仿宋" w:hAnsi="仿宋" w:cs="仿宋"/>
          <w:b/>
          <w:bCs/>
          <w:i/>
          <w:iCs/>
          <w:color w:val="000000" w:themeColor="text1"/>
          <w:sz w:val="24"/>
          <w:szCs w:val="24"/>
          <w:highlight w:val="none"/>
          <w:lang w:eastAsia="zh-CN"/>
          <w14:textFill>
            <w14:solidFill>
              <w14:schemeClr w14:val="tx1"/>
            </w14:solidFill>
          </w14:textFill>
        </w:rPr>
      </w:pPr>
    </w:p>
    <w:p w14:paraId="0F26D608">
      <w:pPr>
        <w:pStyle w:val="32"/>
        <w:widowControl w:val="0"/>
        <w:numPr>
          <w:ilvl w:val="0"/>
          <w:numId w:val="0"/>
        </w:numPr>
        <w:spacing w:after="120" w:line="360" w:lineRule="auto"/>
        <w:jc w:val="both"/>
        <w:rPr>
          <w:rFonts w:hint="eastAsia" w:ascii="仿宋" w:hAnsi="仿宋" w:cs="仿宋"/>
          <w:b/>
          <w:bCs/>
          <w:i/>
          <w:iCs/>
          <w:color w:val="000000" w:themeColor="text1"/>
          <w:sz w:val="24"/>
          <w:szCs w:val="24"/>
          <w:highlight w:val="none"/>
          <w:lang w:eastAsia="zh-CN"/>
          <w14:textFill>
            <w14:solidFill>
              <w14:schemeClr w14:val="tx1"/>
            </w14:solidFill>
          </w14:textFill>
        </w:rPr>
      </w:pPr>
    </w:p>
    <w:p w14:paraId="705409FA">
      <w:pPr>
        <w:numPr>
          <w:ilvl w:val="0"/>
          <w:numId w:val="60"/>
        </w:numPr>
        <w:spacing w:line="360" w:lineRule="auto"/>
        <w:ind w:firstLine="720" w:firstLineChars="300"/>
        <w:jc w:val="left"/>
        <w:rPr>
          <w:rFonts w:ascii="仿宋" w:hAnsi="仿宋" w:cs="仿宋"/>
          <w:color w:val="000000" w:themeColor="text1"/>
          <w:szCs w:val="20"/>
          <w:highlight w:val="none"/>
          <w14:textFill>
            <w14:solidFill>
              <w14:schemeClr w14:val="tx1"/>
            </w14:solidFill>
          </w14:textFill>
        </w:rPr>
      </w:pPr>
      <w:r>
        <w:rPr>
          <w:rFonts w:hint="eastAsia" w:ascii="仿宋" w:hAnsi="仿宋" w:cs="仿宋"/>
          <w:color w:val="000000" w:themeColor="text1"/>
          <w:szCs w:val="20"/>
          <w:highlight w:val="none"/>
          <w14:textFill>
            <w14:solidFill>
              <w14:schemeClr w14:val="tx1"/>
            </w14:solidFill>
          </w14:textFill>
        </w:rPr>
        <w:t>法定代表人身份证复印件（正反面）</w:t>
      </w:r>
    </w:p>
    <w:p w14:paraId="5C3BEF73">
      <w:pPr>
        <w:pStyle w:val="32"/>
        <w:ind w:left="480" w:firstLine="640"/>
        <w:rPr>
          <w:color w:val="000000" w:themeColor="text1"/>
          <w:highlight w:val="none"/>
          <w14:textFill>
            <w14:solidFill>
              <w14:schemeClr w14:val="tx1"/>
            </w14:solidFill>
          </w14:textFill>
        </w:rPr>
      </w:pPr>
    </w:p>
    <w:p w14:paraId="1B9887A7">
      <w:pPr>
        <w:pStyle w:val="32"/>
        <w:ind w:left="480" w:firstLine="640"/>
        <w:rPr>
          <w:color w:val="000000" w:themeColor="text1"/>
          <w:highlight w:val="none"/>
          <w14:textFill>
            <w14:solidFill>
              <w14:schemeClr w14:val="tx1"/>
            </w14:solidFill>
          </w14:textFill>
        </w:rPr>
      </w:pPr>
    </w:p>
    <w:p w14:paraId="1B40B72C">
      <w:pPr>
        <w:pStyle w:val="32"/>
        <w:ind w:left="480" w:firstLine="640"/>
        <w:rPr>
          <w:color w:val="000000" w:themeColor="text1"/>
          <w:highlight w:val="none"/>
          <w14:textFill>
            <w14:solidFill>
              <w14:schemeClr w14:val="tx1"/>
            </w14:solidFill>
          </w14:textFill>
        </w:rPr>
      </w:pPr>
    </w:p>
    <w:tbl>
      <w:tblPr>
        <w:tblStyle w:val="34"/>
        <w:tblW w:w="6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0"/>
      </w:tblGrid>
      <w:tr w14:paraId="2E1C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690" w:type="dxa"/>
            <w:vAlign w:val="top"/>
          </w:tcPr>
          <w:p w14:paraId="45AA06D7">
            <w:pPr>
              <w:pStyle w:val="27"/>
              <w:spacing w:line="360" w:lineRule="auto"/>
              <w:jc w:val="center"/>
              <w:rPr>
                <w:rFonts w:ascii="仿宋" w:hAnsi="仿宋" w:cs="仿宋"/>
                <w:color w:val="000000" w:themeColor="text1"/>
                <w:szCs w:val="20"/>
                <w:highlight w:val="none"/>
                <w14:textFill>
                  <w14:solidFill>
                    <w14:schemeClr w14:val="tx1"/>
                  </w14:solidFill>
                </w14:textFill>
              </w:rPr>
            </w:pPr>
            <w:r>
              <w:rPr>
                <w:rFonts w:hint="eastAsia" w:ascii="仿宋" w:hAnsi="仿宋" w:cs="仿宋"/>
                <w:color w:val="000000" w:themeColor="text1"/>
                <w:szCs w:val="20"/>
                <w:highlight w:val="none"/>
                <w14:textFill>
                  <w14:solidFill>
                    <w14:schemeClr w14:val="tx1"/>
                  </w14:solidFill>
                </w14:textFill>
              </w:rPr>
              <w:t>正面</w:t>
            </w:r>
          </w:p>
        </w:tc>
      </w:tr>
      <w:tr w14:paraId="4D00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90" w:type="dxa"/>
            <w:vAlign w:val="center"/>
          </w:tcPr>
          <w:p w14:paraId="69818791">
            <w:pPr>
              <w:pStyle w:val="27"/>
              <w:spacing w:line="360" w:lineRule="auto"/>
              <w:rPr>
                <w:rFonts w:ascii="仿宋" w:hAnsi="仿宋" w:cs="仿宋"/>
                <w:color w:val="000000" w:themeColor="text1"/>
                <w:sz w:val="18"/>
                <w:highlight w:val="none"/>
                <w:lang w:bidi="ar"/>
                <w14:textFill>
                  <w14:solidFill>
                    <w14:schemeClr w14:val="tx1"/>
                  </w14:solidFill>
                </w14:textFill>
              </w:rPr>
            </w:pPr>
          </w:p>
        </w:tc>
      </w:tr>
      <w:tr w14:paraId="35A1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90" w:type="dxa"/>
            <w:vAlign w:val="center"/>
          </w:tcPr>
          <w:p w14:paraId="5E3A9347">
            <w:pPr>
              <w:pStyle w:val="27"/>
              <w:spacing w:line="360" w:lineRule="auto"/>
              <w:jc w:val="center"/>
              <w:rPr>
                <w:rFonts w:ascii="仿宋" w:hAnsi="仿宋" w:cs="仿宋"/>
                <w:color w:val="000000" w:themeColor="text1"/>
                <w:sz w:val="18"/>
                <w:highlight w:val="none"/>
                <w:lang w:bidi="ar"/>
                <w14:textFill>
                  <w14:solidFill>
                    <w14:schemeClr w14:val="tx1"/>
                  </w14:solidFill>
                </w14:textFill>
              </w:rPr>
            </w:pPr>
            <w:r>
              <w:rPr>
                <w:rFonts w:hint="eastAsia" w:ascii="仿宋" w:hAnsi="仿宋" w:cs="仿宋"/>
                <w:color w:val="000000" w:themeColor="text1"/>
                <w:szCs w:val="20"/>
                <w:highlight w:val="none"/>
                <w14:textFill>
                  <w14:solidFill>
                    <w14:schemeClr w14:val="tx1"/>
                  </w14:solidFill>
                </w14:textFill>
              </w:rPr>
              <w:t>反面</w:t>
            </w:r>
          </w:p>
        </w:tc>
      </w:tr>
      <w:tr w14:paraId="7B62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90" w:type="dxa"/>
            <w:vAlign w:val="center"/>
          </w:tcPr>
          <w:p w14:paraId="1BACEF4C">
            <w:pPr>
              <w:pStyle w:val="27"/>
              <w:spacing w:line="360" w:lineRule="auto"/>
              <w:jc w:val="center"/>
              <w:rPr>
                <w:rFonts w:ascii="仿宋" w:hAnsi="仿宋" w:cs="仿宋"/>
                <w:color w:val="000000" w:themeColor="text1"/>
                <w:sz w:val="18"/>
                <w:highlight w:val="none"/>
                <w:lang w:bidi="ar"/>
                <w14:textFill>
                  <w14:solidFill>
                    <w14:schemeClr w14:val="tx1"/>
                  </w14:solidFill>
                </w14:textFill>
              </w:rPr>
            </w:pPr>
          </w:p>
        </w:tc>
      </w:tr>
    </w:tbl>
    <w:p w14:paraId="74519EA5">
      <w:pPr>
        <w:pStyle w:val="32"/>
        <w:spacing w:line="360" w:lineRule="auto"/>
        <w:ind w:left="0" w:leftChars="0" w:firstLine="0" w:firstLineChars="0"/>
        <w:rPr>
          <w:rFonts w:ascii="仿宋" w:hAnsi="仿宋"/>
          <w:color w:val="000000" w:themeColor="text1"/>
          <w:highlight w:val="none"/>
          <w14:textFill>
            <w14:solidFill>
              <w14:schemeClr w14:val="tx1"/>
            </w14:solidFill>
          </w14:textFill>
        </w:rPr>
      </w:pPr>
    </w:p>
    <w:p w14:paraId="7172B785">
      <w:pPr>
        <w:pStyle w:val="32"/>
        <w:spacing w:line="360" w:lineRule="auto"/>
        <w:ind w:left="0" w:leftChars="0" w:firstLine="0" w:firstLineChars="0"/>
        <w:rPr>
          <w:rFonts w:ascii="仿宋" w:hAnsi="仿宋"/>
          <w:color w:val="000000" w:themeColor="text1"/>
          <w:highlight w:val="none"/>
          <w14:textFill>
            <w14:solidFill>
              <w14:schemeClr w14:val="tx1"/>
            </w14:solidFill>
          </w14:textFill>
        </w:rPr>
      </w:pPr>
    </w:p>
    <w:p w14:paraId="4ED1C3C5">
      <w:pPr>
        <w:pStyle w:val="32"/>
        <w:spacing w:line="360" w:lineRule="auto"/>
        <w:ind w:left="0" w:leftChars="0" w:firstLine="0" w:firstLineChars="0"/>
        <w:rPr>
          <w:rFonts w:ascii="仿宋" w:hAnsi="仿宋"/>
          <w:color w:val="000000" w:themeColor="text1"/>
          <w:highlight w:val="none"/>
          <w14:textFill>
            <w14:solidFill>
              <w14:schemeClr w14:val="tx1"/>
            </w14:solidFill>
          </w14:textFill>
        </w:rPr>
      </w:pPr>
    </w:p>
    <w:p w14:paraId="00228ACB">
      <w:pPr>
        <w:pStyle w:val="32"/>
        <w:spacing w:line="360" w:lineRule="auto"/>
        <w:ind w:left="0" w:leftChars="0" w:firstLine="0" w:firstLineChars="0"/>
        <w:rPr>
          <w:rFonts w:ascii="仿宋" w:hAnsi="仿宋"/>
          <w:color w:val="000000" w:themeColor="text1"/>
          <w:highlight w:val="none"/>
          <w14:textFill>
            <w14:solidFill>
              <w14:schemeClr w14:val="tx1"/>
            </w14:solidFill>
          </w14:textFill>
        </w:rPr>
      </w:pPr>
    </w:p>
    <w:p w14:paraId="7D495014">
      <w:pPr>
        <w:pStyle w:val="32"/>
        <w:spacing w:line="360" w:lineRule="auto"/>
        <w:ind w:left="0" w:leftChars="0" w:firstLine="0" w:firstLineChars="0"/>
        <w:rPr>
          <w:rFonts w:ascii="仿宋" w:hAnsi="仿宋"/>
          <w:color w:val="000000" w:themeColor="text1"/>
          <w:highlight w:val="none"/>
          <w14:textFill>
            <w14:solidFill>
              <w14:schemeClr w14:val="tx1"/>
            </w14:solidFill>
          </w14:textFill>
        </w:rPr>
      </w:pPr>
    </w:p>
    <w:p w14:paraId="30CE5223">
      <w:pPr>
        <w:pStyle w:val="32"/>
        <w:spacing w:line="360" w:lineRule="auto"/>
        <w:ind w:left="0" w:leftChars="0" w:firstLine="0" w:firstLineChars="0"/>
        <w:rPr>
          <w:rFonts w:ascii="仿宋" w:hAnsi="仿宋"/>
          <w:color w:val="000000" w:themeColor="text1"/>
          <w:highlight w:val="none"/>
          <w14:textFill>
            <w14:solidFill>
              <w14:schemeClr w14:val="tx1"/>
            </w14:solidFill>
          </w14:textFill>
        </w:rPr>
      </w:pPr>
    </w:p>
    <w:p w14:paraId="672AF6B0">
      <w:pPr>
        <w:numPr>
          <w:ilvl w:val="0"/>
          <w:numId w:val="60"/>
        </w:numPr>
        <w:spacing w:line="360" w:lineRule="auto"/>
        <w:ind w:firstLine="720" w:firstLineChars="300"/>
        <w:jc w:val="left"/>
        <w:rPr>
          <w:rFonts w:ascii="仿宋" w:hAnsi="仿宋" w:cs="仿宋"/>
          <w:color w:val="000000" w:themeColor="text1"/>
          <w:szCs w:val="20"/>
          <w:highlight w:val="none"/>
          <w14:textFill>
            <w14:solidFill>
              <w14:schemeClr w14:val="tx1"/>
            </w14:solidFill>
          </w14:textFill>
        </w:rPr>
      </w:pPr>
      <w:r>
        <w:rPr>
          <w:rFonts w:hint="eastAsia" w:ascii="仿宋" w:hAnsi="仿宋" w:cs="仿宋"/>
          <w:color w:val="000000" w:themeColor="text1"/>
          <w:szCs w:val="20"/>
          <w:highlight w:val="none"/>
          <w14:textFill>
            <w14:solidFill>
              <w14:schemeClr w14:val="tx1"/>
            </w14:solidFill>
          </w14:textFill>
        </w:rPr>
        <w:t>被授权人身份证复印件（正反面）</w:t>
      </w:r>
    </w:p>
    <w:p w14:paraId="107B93FE">
      <w:pPr>
        <w:pStyle w:val="29"/>
        <w:rPr>
          <w:rFonts w:hint="eastAsia" w:ascii="仿宋" w:hAnsi="仿宋" w:cs="仿宋"/>
          <w:color w:val="000000" w:themeColor="text1"/>
          <w:szCs w:val="20"/>
          <w:highlight w:val="none"/>
          <w14:textFill>
            <w14:solidFill>
              <w14:schemeClr w14:val="tx1"/>
            </w14:solidFill>
          </w14:textFill>
        </w:rPr>
      </w:pPr>
    </w:p>
    <w:p w14:paraId="31C261C2">
      <w:pPr>
        <w:pStyle w:val="29"/>
        <w:rPr>
          <w:rFonts w:hint="eastAsia" w:ascii="仿宋" w:hAnsi="仿宋" w:cs="仿宋"/>
          <w:color w:val="000000" w:themeColor="text1"/>
          <w:szCs w:val="20"/>
          <w:highlight w:val="none"/>
          <w14:textFill>
            <w14:solidFill>
              <w14:schemeClr w14:val="tx1"/>
            </w14:solidFill>
          </w14:textFill>
        </w:rPr>
      </w:pPr>
    </w:p>
    <w:tbl>
      <w:tblPr>
        <w:tblStyle w:val="34"/>
        <w:tblW w:w="6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0"/>
      </w:tblGrid>
      <w:tr w14:paraId="5462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690" w:type="dxa"/>
            <w:vAlign w:val="top"/>
          </w:tcPr>
          <w:p w14:paraId="03802F2B">
            <w:pPr>
              <w:pStyle w:val="27"/>
              <w:spacing w:line="360" w:lineRule="auto"/>
              <w:jc w:val="center"/>
              <w:rPr>
                <w:rFonts w:ascii="仿宋" w:hAnsi="仿宋" w:cs="仿宋"/>
                <w:color w:val="000000" w:themeColor="text1"/>
                <w:szCs w:val="20"/>
                <w:highlight w:val="none"/>
                <w14:textFill>
                  <w14:solidFill>
                    <w14:schemeClr w14:val="tx1"/>
                  </w14:solidFill>
                </w14:textFill>
              </w:rPr>
            </w:pPr>
            <w:r>
              <w:rPr>
                <w:rFonts w:hint="eastAsia" w:ascii="仿宋" w:hAnsi="仿宋" w:cs="仿宋"/>
                <w:color w:val="000000" w:themeColor="text1"/>
                <w:szCs w:val="20"/>
                <w:highlight w:val="none"/>
                <w14:textFill>
                  <w14:solidFill>
                    <w14:schemeClr w14:val="tx1"/>
                  </w14:solidFill>
                </w14:textFill>
              </w:rPr>
              <w:t>正面</w:t>
            </w:r>
          </w:p>
        </w:tc>
      </w:tr>
      <w:tr w14:paraId="2ACD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90" w:type="dxa"/>
            <w:vAlign w:val="center"/>
          </w:tcPr>
          <w:p w14:paraId="5AF15441">
            <w:pPr>
              <w:pStyle w:val="27"/>
              <w:spacing w:line="360" w:lineRule="auto"/>
              <w:jc w:val="center"/>
              <w:rPr>
                <w:rFonts w:ascii="仿宋" w:hAnsi="仿宋" w:cs="仿宋"/>
                <w:color w:val="000000" w:themeColor="text1"/>
                <w:sz w:val="18"/>
                <w:highlight w:val="none"/>
                <w:lang w:bidi="ar"/>
                <w14:textFill>
                  <w14:solidFill>
                    <w14:schemeClr w14:val="tx1"/>
                  </w14:solidFill>
                </w14:textFill>
              </w:rPr>
            </w:pPr>
          </w:p>
        </w:tc>
      </w:tr>
      <w:tr w14:paraId="5227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90" w:type="dxa"/>
            <w:vAlign w:val="center"/>
          </w:tcPr>
          <w:p w14:paraId="497ED4F5">
            <w:pPr>
              <w:pStyle w:val="27"/>
              <w:spacing w:line="360" w:lineRule="auto"/>
              <w:jc w:val="center"/>
              <w:rPr>
                <w:rFonts w:ascii="仿宋" w:hAnsi="仿宋" w:cs="仿宋"/>
                <w:color w:val="000000" w:themeColor="text1"/>
                <w:sz w:val="18"/>
                <w:highlight w:val="none"/>
                <w:lang w:bidi="ar"/>
                <w14:textFill>
                  <w14:solidFill>
                    <w14:schemeClr w14:val="tx1"/>
                  </w14:solidFill>
                </w14:textFill>
              </w:rPr>
            </w:pPr>
            <w:r>
              <w:rPr>
                <w:rFonts w:hint="eastAsia" w:ascii="仿宋" w:hAnsi="仿宋" w:cs="仿宋"/>
                <w:color w:val="000000" w:themeColor="text1"/>
                <w:szCs w:val="20"/>
                <w:highlight w:val="none"/>
                <w14:textFill>
                  <w14:solidFill>
                    <w14:schemeClr w14:val="tx1"/>
                  </w14:solidFill>
                </w14:textFill>
              </w:rPr>
              <w:t>反面</w:t>
            </w:r>
          </w:p>
        </w:tc>
      </w:tr>
      <w:tr w14:paraId="1E0D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90" w:type="dxa"/>
            <w:vAlign w:val="center"/>
          </w:tcPr>
          <w:p w14:paraId="48C54880">
            <w:pPr>
              <w:pStyle w:val="27"/>
              <w:spacing w:line="360" w:lineRule="auto"/>
              <w:jc w:val="center"/>
              <w:rPr>
                <w:rFonts w:ascii="仿宋" w:hAnsi="仿宋" w:cs="仿宋"/>
                <w:color w:val="000000" w:themeColor="text1"/>
                <w:sz w:val="18"/>
                <w:highlight w:val="none"/>
                <w:lang w:bidi="ar"/>
                <w14:textFill>
                  <w14:solidFill>
                    <w14:schemeClr w14:val="tx1"/>
                  </w14:solidFill>
                </w14:textFill>
              </w:rPr>
            </w:pPr>
          </w:p>
        </w:tc>
      </w:tr>
    </w:tbl>
    <w:p w14:paraId="040CB405">
      <w:pPr>
        <w:pStyle w:val="32"/>
        <w:spacing w:line="360" w:lineRule="auto"/>
        <w:ind w:left="0" w:leftChars="0" w:firstLine="0" w:firstLineChars="0"/>
        <w:rPr>
          <w:rFonts w:ascii="仿宋" w:hAnsi="仿宋" w:cs="仿宋"/>
          <w:color w:val="000000" w:themeColor="text1"/>
          <w:sz w:val="21"/>
          <w:szCs w:val="21"/>
          <w:highlight w:val="none"/>
          <w14:textFill>
            <w14:solidFill>
              <w14:schemeClr w14:val="tx1"/>
            </w14:solidFill>
          </w14:textFill>
        </w:rPr>
      </w:pPr>
    </w:p>
    <w:p w14:paraId="7D65D187">
      <w:pPr>
        <w:pStyle w:val="32"/>
        <w:spacing w:line="360" w:lineRule="auto"/>
        <w:ind w:left="0" w:leftChars="0" w:firstLine="0" w:firstLineChars="0"/>
        <w:rPr>
          <w:rFonts w:ascii="仿宋" w:hAnsi="仿宋" w:cs="仿宋"/>
          <w:color w:val="000000" w:themeColor="text1"/>
          <w:sz w:val="21"/>
          <w:szCs w:val="21"/>
          <w:highlight w:val="none"/>
          <w14:textFill>
            <w14:solidFill>
              <w14:schemeClr w14:val="tx1"/>
            </w14:solidFill>
          </w14:textFill>
        </w:rPr>
      </w:pPr>
    </w:p>
    <w:p w14:paraId="7D7858C8">
      <w:pPr>
        <w:pStyle w:val="32"/>
        <w:spacing w:line="360" w:lineRule="auto"/>
        <w:ind w:left="0" w:leftChars="0" w:firstLine="0" w:firstLineChars="0"/>
        <w:rPr>
          <w:rFonts w:ascii="仿宋" w:hAnsi="仿宋" w:cs="仿宋"/>
          <w:color w:val="000000" w:themeColor="text1"/>
          <w:sz w:val="21"/>
          <w:szCs w:val="21"/>
          <w:highlight w:val="none"/>
          <w14:textFill>
            <w14:solidFill>
              <w14:schemeClr w14:val="tx1"/>
            </w14:solidFill>
          </w14:textFill>
        </w:rPr>
      </w:pPr>
    </w:p>
    <w:p w14:paraId="22C306B0">
      <w:pPr>
        <w:pStyle w:val="32"/>
        <w:spacing w:line="360" w:lineRule="auto"/>
        <w:ind w:left="0" w:leftChars="0" w:firstLine="0" w:firstLineChars="0"/>
        <w:rPr>
          <w:rFonts w:ascii="仿宋" w:hAnsi="仿宋" w:cs="仿宋"/>
          <w:color w:val="000000" w:themeColor="text1"/>
          <w:sz w:val="21"/>
          <w:szCs w:val="21"/>
          <w:highlight w:val="none"/>
          <w14:textFill>
            <w14:solidFill>
              <w14:schemeClr w14:val="tx1"/>
            </w14:solidFill>
          </w14:textFill>
        </w:rPr>
      </w:pPr>
    </w:p>
    <w:p w14:paraId="11361B4B">
      <w:pPr>
        <w:pStyle w:val="32"/>
        <w:spacing w:line="360" w:lineRule="auto"/>
        <w:ind w:left="0" w:leftChars="0" w:firstLine="0" w:firstLineChars="0"/>
        <w:rPr>
          <w:rFonts w:ascii="仿宋" w:hAnsi="仿宋" w:cs="仿宋"/>
          <w:color w:val="000000" w:themeColor="text1"/>
          <w:sz w:val="21"/>
          <w:szCs w:val="21"/>
          <w:highlight w:val="none"/>
          <w14:textFill>
            <w14:solidFill>
              <w14:schemeClr w14:val="tx1"/>
            </w14:solidFill>
          </w14:textFill>
        </w:rPr>
      </w:pPr>
    </w:p>
    <w:p w14:paraId="0673703E">
      <w:pPr>
        <w:pStyle w:val="32"/>
        <w:spacing w:line="360" w:lineRule="auto"/>
        <w:ind w:left="0" w:leftChars="0" w:firstLine="0" w:firstLineChars="0"/>
        <w:rPr>
          <w:rFonts w:ascii="仿宋" w:hAnsi="仿宋" w:cs="仿宋"/>
          <w:color w:val="000000" w:themeColor="text1"/>
          <w:sz w:val="21"/>
          <w:szCs w:val="21"/>
          <w:highlight w:val="none"/>
          <w14:textFill>
            <w14:solidFill>
              <w14:schemeClr w14:val="tx1"/>
            </w14:solidFill>
          </w14:textFill>
        </w:rPr>
      </w:pPr>
    </w:p>
    <w:p w14:paraId="0D597E83">
      <w:pPr>
        <w:pStyle w:val="32"/>
        <w:spacing w:line="360" w:lineRule="auto"/>
        <w:ind w:left="0" w:leftChars="0" w:firstLine="0" w:firstLineChars="0"/>
        <w:rPr>
          <w:rFonts w:ascii="仿宋" w:hAnsi="仿宋" w:cs="仿宋"/>
          <w:color w:val="000000" w:themeColor="text1"/>
          <w:sz w:val="21"/>
          <w:szCs w:val="21"/>
          <w:highlight w:val="none"/>
          <w14:textFill>
            <w14:solidFill>
              <w14:schemeClr w14:val="tx1"/>
            </w14:solidFill>
          </w14:textFill>
        </w:rPr>
      </w:pPr>
    </w:p>
    <w:p w14:paraId="2C7A526B">
      <w:pPr>
        <w:jc w:val="left"/>
        <w:rPr>
          <w:rFonts w:hint="eastAsia" w:ascii="仿宋" w:hAnsi="仿宋" w:eastAsia="仿宋" w:cs="Arial"/>
          <w:color w:val="000000" w:themeColor="text1"/>
          <w:sz w:val="24"/>
          <w:szCs w:val="20"/>
          <w:highlight w:val="none"/>
          <w:lang w:eastAsia="zh-CN"/>
          <w14:textFill>
            <w14:solidFill>
              <w14:schemeClr w14:val="tx1"/>
            </w14:solidFill>
          </w14:textFill>
        </w:rPr>
      </w:pPr>
    </w:p>
    <w:p w14:paraId="14B5F40E">
      <w:pPr>
        <w:jc w:val="left"/>
        <w:rPr>
          <w:rFonts w:hint="eastAsia" w:ascii="仿宋" w:hAnsi="仿宋" w:eastAsia="仿宋" w:cs="Arial"/>
          <w:color w:val="000000" w:themeColor="text1"/>
          <w:sz w:val="24"/>
          <w:szCs w:val="20"/>
          <w:highlight w:val="none"/>
          <w:lang w:eastAsia="zh-CN"/>
          <w14:textFill>
            <w14:solidFill>
              <w14:schemeClr w14:val="tx1"/>
            </w14:solidFill>
          </w14:textFill>
        </w:rPr>
      </w:pPr>
    </w:p>
    <w:p w14:paraId="69975B1B">
      <w:pPr>
        <w:jc w:val="left"/>
        <w:rPr>
          <w:rFonts w:ascii="仿宋" w:hAnsi="仿宋" w:eastAsia="仿宋" w:cs="Arial"/>
          <w:color w:val="000000" w:themeColor="text1"/>
          <w:sz w:val="24"/>
          <w:szCs w:val="20"/>
          <w:highlight w:val="none"/>
          <w14:textFill>
            <w14:solidFill>
              <w14:schemeClr w14:val="tx1"/>
            </w14:solidFill>
          </w14:textFill>
        </w:rPr>
      </w:pPr>
      <w:r>
        <w:rPr>
          <w:rFonts w:hint="eastAsia" w:ascii="仿宋" w:hAnsi="仿宋" w:eastAsia="仿宋" w:cs="Arial"/>
          <w:color w:val="000000" w:themeColor="text1"/>
          <w:sz w:val="24"/>
          <w:szCs w:val="20"/>
          <w:highlight w:val="none"/>
          <w:lang w:eastAsia="zh-CN"/>
          <w14:textFill>
            <w14:solidFill>
              <w14:schemeClr w14:val="tx1"/>
            </w14:solidFill>
          </w14:textFill>
        </w:rPr>
        <w:t>（</w:t>
      </w:r>
      <w:r>
        <w:rPr>
          <w:rFonts w:hint="eastAsia" w:ascii="仿宋" w:hAnsi="仿宋" w:eastAsia="仿宋" w:cs="Arial"/>
          <w:color w:val="000000" w:themeColor="text1"/>
          <w:sz w:val="24"/>
          <w:szCs w:val="20"/>
          <w:highlight w:val="none"/>
          <w:lang w:val="en-US" w:eastAsia="zh-CN"/>
          <w14:textFill>
            <w14:solidFill>
              <w14:schemeClr w14:val="tx1"/>
            </w14:solidFill>
          </w14:textFill>
        </w:rPr>
        <w:t>3</w:t>
      </w:r>
      <w:r>
        <w:rPr>
          <w:rFonts w:hint="eastAsia" w:ascii="仿宋" w:hAnsi="仿宋" w:eastAsia="仿宋" w:cs="Arial"/>
          <w:color w:val="000000" w:themeColor="text1"/>
          <w:sz w:val="24"/>
          <w:szCs w:val="20"/>
          <w:highlight w:val="none"/>
          <w:lang w:eastAsia="zh-CN"/>
          <w14:textFill>
            <w14:solidFill>
              <w14:schemeClr w14:val="tx1"/>
            </w14:solidFill>
          </w14:textFill>
        </w:rPr>
        <w:t>）被授权人社保缴纳证明资料</w:t>
      </w:r>
      <w:r>
        <w:rPr>
          <w:rFonts w:hint="eastAsia" w:ascii="仿宋" w:hAnsi="仿宋" w:eastAsia="仿宋" w:cs="Arial"/>
          <w:color w:val="000000" w:themeColor="text1"/>
          <w:sz w:val="24"/>
          <w:szCs w:val="20"/>
          <w:highlight w:val="none"/>
          <w14:textFill>
            <w14:solidFill>
              <w14:schemeClr w14:val="tx1"/>
            </w14:solidFill>
          </w14:textFill>
        </w:rPr>
        <w:t>复印件：</w:t>
      </w:r>
    </w:p>
    <w:p w14:paraId="4C008FF7">
      <w:pPr>
        <w:widowControl/>
        <w:jc w:val="left"/>
        <w:rPr>
          <w:rFonts w:ascii="仿宋" w:hAnsi="仿宋" w:eastAsia="仿宋" w:cs="Arial"/>
          <w:b/>
          <w:color w:val="000000" w:themeColor="text1"/>
          <w:sz w:val="24"/>
          <w:highlight w:val="none"/>
          <w14:textFill>
            <w14:solidFill>
              <w14:schemeClr w14:val="tx1"/>
            </w14:solidFill>
          </w14:textFill>
        </w:rPr>
      </w:pPr>
    </w:p>
    <w:p w14:paraId="1166FA9C">
      <w:pPr>
        <w:pStyle w:val="15"/>
        <w:tabs>
          <w:tab w:val="left" w:pos="5580"/>
        </w:tabs>
        <w:spacing w:line="360" w:lineRule="auto"/>
        <w:rPr>
          <w:rFonts w:ascii="Arial" w:hAnsi="Arial" w:eastAsia="仿宋_GB2312" w:cs="Arial"/>
          <w:color w:val="000000" w:themeColor="text1"/>
          <w:sz w:val="24"/>
          <w:highlight w:val="none"/>
          <w14:textFill>
            <w14:solidFill>
              <w14:schemeClr w14:val="tx1"/>
            </w14:solidFill>
          </w14:textFill>
        </w:rPr>
      </w:pPr>
    </w:p>
    <w:p w14:paraId="14A299E0">
      <w:pPr>
        <w:pStyle w:val="15"/>
        <w:tabs>
          <w:tab w:val="left" w:pos="5580"/>
        </w:tabs>
        <w:spacing w:line="360" w:lineRule="auto"/>
        <w:rPr>
          <w:rFonts w:hint="default" w:ascii="Arial" w:hAnsi="Arial" w:eastAsia="仿宋_GB2312" w:cs="Arial"/>
          <w:b w:val="0"/>
          <w:bCs w:val="0"/>
          <w:color w:val="000000" w:themeColor="text1"/>
          <w:sz w:val="24"/>
          <w:highlight w:val="none"/>
          <w:lang w:val="en-US" w:eastAsia="zh-CN"/>
          <w14:textFill>
            <w14:solidFill>
              <w14:schemeClr w14:val="tx1"/>
            </w14:solidFill>
          </w14:textFill>
        </w:rPr>
      </w:pPr>
      <w:r>
        <w:rPr>
          <w:rFonts w:hint="eastAsia" w:ascii="Arial" w:hAnsi="Arial" w:eastAsia="仿宋_GB2312" w:cs="Arial"/>
          <w:b w:val="0"/>
          <w:bCs w:val="0"/>
          <w:color w:val="000000" w:themeColor="text1"/>
          <w:sz w:val="24"/>
          <w:highlight w:val="none"/>
          <w:lang w:val="en-US" w:eastAsia="zh-CN"/>
          <w14:textFill>
            <w14:solidFill>
              <w14:schemeClr w14:val="tx1"/>
            </w14:solidFill>
          </w14:textFill>
        </w:rPr>
        <w:t>提供被授权人在投标人近6个月内连续3个月的社保缴交证明复印件并加盖公章</w:t>
      </w:r>
    </w:p>
    <w:p w14:paraId="00FF36AC">
      <w:pPr>
        <w:pStyle w:val="32"/>
        <w:spacing w:line="360" w:lineRule="auto"/>
        <w:ind w:left="0" w:leftChars="0" w:firstLine="0" w:firstLineChars="0"/>
        <w:rPr>
          <w:rFonts w:ascii="仿宋" w:hAnsi="仿宋" w:cs="仿宋"/>
          <w:color w:val="000000" w:themeColor="text1"/>
          <w:sz w:val="21"/>
          <w:szCs w:val="2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E26280C">
      <w:pPr>
        <w:outlineLvl w:val="0"/>
        <w:rPr>
          <w:rStyle w:val="62"/>
          <w:rFonts w:ascii="仿宋" w:hAnsi="仿宋" w:eastAsia="仿宋" w:cs="仿宋"/>
          <w:color w:val="000000" w:themeColor="text1"/>
          <w:sz w:val="24"/>
          <w:szCs w:val="24"/>
          <w:highlight w:val="none"/>
          <w14:textFill>
            <w14:solidFill>
              <w14:schemeClr w14:val="tx1"/>
            </w14:solidFill>
          </w14:textFill>
        </w:rPr>
      </w:pPr>
      <w:bookmarkStart w:id="396" w:name="_Toc13274"/>
      <w:bookmarkStart w:id="397" w:name="_Toc14528"/>
      <w:bookmarkStart w:id="398" w:name="_Toc150933647"/>
      <w:bookmarkStart w:id="399" w:name="_Toc16327"/>
      <w:bookmarkStart w:id="400" w:name="_Toc5910"/>
      <w:bookmarkStart w:id="401" w:name="_Toc857930594"/>
      <w:bookmarkStart w:id="402" w:name="_Toc17050"/>
      <w:bookmarkStart w:id="403" w:name="_Toc20715"/>
      <w:bookmarkStart w:id="404" w:name="_Toc108796177"/>
      <w:bookmarkStart w:id="405" w:name="_Toc7115"/>
      <w:bookmarkStart w:id="406" w:name="_Toc26368"/>
      <w:bookmarkStart w:id="407" w:name="_Toc27832"/>
      <w:bookmarkStart w:id="408" w:name="_Toc4167"/>
      <w:bookmarkStart w:id="409" w:name="_Toc149230428"/>
      <w:bookmarkStart w:id="410" w:name="_Toc30623"/>
      <w:bookmarkStart w:id="411" w:name="_Toc13208"/>
      <w:r>
        <w:rPr>
          <w:rStyle w:val="62"/>
          <w:rFonts w:hint="eastAsia" w:ascii="仿宋" w:hAnsi="仿宋" w:eastAsia="仿宋" w:cs="仿宋"/>
          <w:color w:val="000000" w:themeColor="text1"/>
          <w:sz w:val="24"/>
          <w:szCs w:val="24"/>
          <w:highlight w:val="none"/>
          <w14:textFill>
            <w14:solidFill>
              <w14:schemeClr w14:val="tx1"/>
            </w14:solidFill>
          </w14:textFill>
        </w:rPr>
        <w:t>附件5-3 资格证明文件</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5E90D1B5">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p>
    <w:p w14:paraId="3CA26A04">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填写须知</w:t>
      </w:r>
    </w:p>
    <w:p w14:paraId="4EBDF402">
      <w:pPr>
        <w:pStyle w:val="116"/>
        <w:numPr>
          <w:ilvl w:val="0"/>
          <w:numId w:val="61"/>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投标人应填写和提交下述规定的全部格式以及其他有关资料。</w:t>
      </w:r>
    </w:p>
    <w:p w14:paraId="335DB1EC">
      <w:pPr>
        <w:pStyle w:val="116"/>
        <w:numPr>
          <w:ilvl w:val="0"/>
          <w:numId w:val="61"/>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所附格式中要求填写的全部问题和/或信息都必须填写。</w:t>
      </w:r>
    </w:p>
    <w:p w14:paraId="5FFBFD39">
      <w:pPr>
        <w:pStyle w:val="116"/>
        <w:numPr>
          <w:ilvl w:val="0"/>
          <w:numId w:val="61"/>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本资格声明的签字人应保证全部声明和填写的内容是真实的和正确的。</w:t>
      </w:r>
    </w:p>
    <w:p w14:paraId="344926D9">
      <w:pPr>
        <w:pStyle w:val="116"/>
        <w:numPr>
          <w:ilvl w:val="0"/>
          <w:numId w:val="61"/>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招标人将应用投标人提交的资料根据自己的判断和考虑决定投标人履行合同的合格性及能力。</w:t>
      </w:r>
    </w:p>
    <w:p w14:paraId="2C99067F">
      <w:pPr>
        <w:pStyle w:val="116"/>
        <w:numPr>
          <w:ilvl w:val="0"/>
          <w:numId w:val="61"/>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投标人提交的材料将被保密，但不退还。</w:t>
      </w:r>
    </w:p>
    <w:p w14:paraId="348053C2">
      <w:pPr>
        <w:pStyle w:val="116"/>
        <w:numPr>
          <w:ilvl w:val="0"/>
          <w:numId w:val="61"/>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全部文件应按规定的语言和份数提交。</w:t>
      </w:r>
    </w:p>
    <w:p w14:paraId="6EB86B03">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p>
    <w:p w14:paraId="49F03E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bCs w:val="0"/>
          <w:color w:val="000000" w:themeColor="text1"/>
          <w:kern w:val="2"/>
          <w:sz w:val="24"/>
          <w:szCs w:val="24"/>
          <w:highlight w:val="none"/>
          <w:shd w:val="clear" w:color="auto" w:fill="auto"/>
          <w:lang w:val="en-US"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投标人须按以下要求提供证明材料：</w:t>
      </w:r>
    </w:p>
    <w:p w14:paraId="45CCA9E9">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0" w:leftChars="0" w:firstLine="0" w:firstLineChars="0"/>
        <w:textAlignment w:val="auto"/>
        <w:rPr>
          <w:rFonts w:ascii="仿宋" w:hAnsi="仿宋" w:eastAsia="仿宋" w:cs="Arial"/>
          <w:color w:val="000000" w:themeColor="text1"/>
          <w:kern w:val="2"/>
          <w:sz w:val="24"/>
          <w:szCs w:val="24"/>
          <w:highlight w:val="none"/>
          <w14:textFill>
            <w14:solidFill>
              <w14:schemeClr w14:val="tx1"/>
            </w14:solidFill>
          </w14:textFill>
        </w:rPr>
      </w:pPr>
      <w:bookmarkStart w:id="412" w:name="_Toc148111124"/>
      <w:bookmarkStart w:id="413" w:name="_Toc149224071"/>
      <w:bookmarkStart w:id="414" w:name="_Toc148111018"/>
      <w:r>
        <w:rPr>
          <w:rFonts w:ascii="仿宋" w:hAnsi="仿宋" w:eastAsia="仿宋" w:cs="Arial"/>
          <w:color w:val="000000" w:themeColor="text1"/>
          <w:kern w:val="2"/>
          <w:sz w:val="24"/>
          <w:szCs w:val="24"/>
          <w:highlight w:val="none"/>
          <w14:textFill>
            <w14:solidFill>
              <w14:schemeClr w14:val="tx1"/>
            </w14:solidFill>
          </w14:textFill>
        </w:rPr>
        <w:t>会计师事务所出具的上一年度</w:t>
      </w:r>
      <w:r>
        <w:rPr>
          <w:rFonts w:hint="eastAsia" w:ascii="仿宋" w:hAnsi="仿宋" w:cs="Arial"/>
          <w:color w:val="000000" w:themeColor="text1"/>
          <w:kern w:val="2"/>
          <w:sz w:val="24"/>
          <w:szCs w:val="24"/>
          <w:highlight w:val="none"/>
          <w:lang w:eastAsia="zh-CN"/>
          <w14:textFill>
            <w14:solidFill>
              <w14:schemeClr w14:val="tx1"/>
            </w14:solidFill>
          </w14:textFill>
        </w:rPr>
        <w:t>（</w:t>
      </w:r>
      <w:r>
        <w:rPr>
          <w:rFonts w:hint="eastAsia" w:ascii="仿宋" w:hAnsi="仿宋" w:cs="Arial"/>
          <w:color w:val="000000" w:themeColor="text1"/>
          <w:kern w:val="2"/>
          <w:sz w:val="24"/>
          <w:szCs w:val="24"/>
          <w:highlight w:val="none"/>
          <w:lang w:val="en-US" w:eastAsia="zh-CN"/>
          <w14:textFill>
            <w14:solidFill>
              <w14:schemeClr w14:val="tx1"/>
            </w14:solidFill>
          </w14:textFill>
        </w:rPr>
        <w:t>2024年</w:t>
      </w:r>
      <w:r>
        <w:rPr>
          <w:rFonts w:hint="eastAsia" w:ascii="仿宋" w:hAnsi="仿宋" w:cs="Arial"/>
          <w:color w:val="000000" w:themeColor="text1"/>
          <w:kern w:val="2"/>
          <w:sz w:val="24"/>
          <w:szCs w:val="24"/>
          <w:highlight w:val="none"/>
          <w:lang w:eastAsia="zh-CN"/>
          <w14:textFill>
            <w14:solidFill>
              <w14:schemeClr w14:val="tx1"/>
            </w14:solidFill>
          </w14:textFill>
        </w:rPr>
        <w:t>）</w:t>
      </w:r>
      <w:r>
        <w:rPr>
          <w:rFonts w:ascii="仿宋" w:hAnsi="仿宋" w:eastAsia="仿宋" w:cs="Arial"/>
          <w:color w:val="000000" w:themeColor="text1"/>
          <w:kern w:val="2"/>
          <w:sz w:val="24"/>
          <w:szCs w:val="24"/>
          <w:highlight w:val="none"/>
          <w14:textFill>
            <w14:solidFill>
              <w14:schemeClr w14:val="tx1"/>
            </w14:solidFill>
          </w14:textFill>
        </w:rPr>
        <w:t>财务审计报告或新设企业当年验资报告的复印件（</w:t>
      </w:r>
      <w:r>
        <w:rPr>
          <w:rFonts w:ascii="仿宋" w:hAnsi="仿宋" w:eastAsia="仿宋" w:cs="Arial"/>
          <w:bCs/>
          <w:color w:val="000000" w:themeColor="text1"/>
          <w:sz w:val="24"/>
          <w:szCs w:val="24"/>
          <w:highlight w:val="none"/>
          <w14:textFill>
            <w14:solidFill>
              <w14:schemeClr w14:val="tx1"/>
            </w14:solidFill>
          </w14:textFill>
        </w:rPr>
        <w:t>报告须具有出具单位公章</w:t>
      </w:r>
      <w:r>
        <w:rPr>
          <w:rFonts w:ascii="仿宋" w:hAnsi="仿宋" w:eastAsia="仿宋" w:cs="Arial"/>
          <w:color w:val="000000" w:themeColor="text1"/>
          <w:kern w:val="2"/>
          <w:sz w:val="24"/>
          <w:szCs w:val="24"/>
          <w:highlight w:val="none"/>
          <w14:textFill>
            <w14:solidFill>
              <w14:schemeClr w14:val="tx1"/>
            </w14:solidFill>
          </w14:textFill>
        </w:rPr>
        <w:t>），或银行出具的资信证明</w:t>
      </w:r>
      <w:bookmarkEnd w:id="412"/>
      <w:bookmarkEnd w:id="413"/>
      <w:bookmarkEnd w:id="414"/>
    </w:p>
    <w:p w14:paraId="28DD1C7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r>
        <w:rPr>
          <w:rFonts w:hint="eastAsia" w:ascii="仿宋" w:hAnsi="仿宋" w:cs="仿宋"/>
          <w:b w:val="0"/>
          <w:bCs w:val="0"/>
          <w:color w:val="000000" w:themeColor="text1"/>
          <w:szCs w:val="24"/>
          <w:highlight w:val="none"/>
          <w:lang w:val="en-US" w:eastAsia="zh-CN"/>
          <w14:textFill>
            <w14:solidFill>
              <w14:schemeClr w14:val="tx1"/>
            </w14:solidFill>
          </w14:textFill>
        </w:rPr>
        <w:t>2.</w:t>
      </w:r>
      <w:r>
        <w:rPr>
          <w:rFonts w:hint="eastAsia" w:ascii="仿宋" w:hAnsi="仿宋" w:cs="仿宋"/>
          <w:color w:val="000000" w:themeColor="text1"/>
          <w:sz w:val="24"/>
          <w:szCs w:val="24"/>
          <w:highlight w:val="none"/>
          <w:lang w:val="en-US" w:eastAsia="zh-CN"/>
          <w14:textFill>
            <w14:solidFill>
              <w14:schemeClr w14:val="tx1"/>
            </w14:solidFill>
          </w14:textFill>
        </w:rPr>
        <w:t>若为代理商投标的，需提供制造商出具的针对本项目的唯一授权书（同一品牌只能指定唯一代理商）和原厂质保承诺函。若为分公司投标的，需提供具有法人资格的总公司的营业执照副本及本项目需要的资质证书复印件及针对本项目的授权书。总公司须就本项目出具授权书。已由总公司授权的，总公司取得的相关资质证书对分公司有效。</w:t>
      </w:r>
    </w:p>
    <w:p w14:paraId="3779E84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r>
        <w:rPr>
          <w:rFonts w:hint="eastAsia" w:ascii="仿宋" w:hAnsi="仿宋" w:cs="仿宋"/>
          <w:color w:val="000000" w:themeColor="text1"/>
          <w:sz w:val="24"/>
          <w:szCs w:val="24"/>
          <w:highlight w:val="none"/>
          <w:lang w:val="en-US" w:eastAsia="zh-CN"/>
          <w14:textFill>
            <w14:solidFill>
              <w14:schemeClr w14:val="tx1"/>
            </w14:solidFill>
          </w14:textFill>
        </w:rPr>
        <w:t>3.投标人认为有必要提供的其他资格证明文件。</w:t>
      </w:r>
    </w:p>
    <w:p w14:paraId="32F7EA5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p>
    <w:p w14:paraId="2157A74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p>
    <w:p w14:paraId="1ED1BF4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p>
    <w:p w14:paraId="4C4A731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p>
    <w:p w14:paraId="34186A4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p>
    <w:p w14:paraId="1540361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p>
    <w:p w14:paraId="2684DAC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p>
    <w:p w14:paraId="5925013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cs="仿宋"/>
          <w:color w:val="000000" w:themeColor="text1"/>
          <w:sz w:val="24"/>
          <w:szCs w:val="24"/>
          <w:highlight w:val="none"/>
          <w:lang w:val="en-US" w:eastAsia="zh-CN"/>
          <w14:textFill>
            <w14:solidFill>
              <w14:schemeClr w14:val="tx1"/>
            </w14:solidFill>
          </w14:textFill>
        </w:rPr>
      </w:pPr>
    </w:p>
    <w:p w14:paraId="3FD2A4BD">
      <w:pPr>
        <w:keepNext w:val="0"/>
        <w:keepLines w:val="0"/>
        <w:spacing w:line="360" w:lineRule="auto"/>
        <w:jc w:val="both"/>
        <w:rPr>
          <w:rFonts w:ascii="仿宋" w:hAnsi="仿宋" w:eastAsia="仿宋" w:cs="Arial"/>
          <w:b/>
          <w:bCs/>
          <w:color w:val="000000" w:themeColor="text1"/>
          <w:kern w:val="2"/>
          <w:sz w:val="24"/>
          <w:szCs w:val="24"/>
          <w:highlight w:val="none"/>
          <w14:textFill>
            <w14:solidFill>
              <w14:schemeClr w14:val="tx1"/>
            </w14:solidFill>
          </w14:textFill>
        </w:rPr>
      </w:pPr>
      <w:bookmarkStart w:id="415" w:name="_Toc150933648"/>
      <w:bookmarkStart w:id="416" w:name="_Toc3506"/>
      <w:bookmarkStart w:id="417" w:name="_Toc149230429"/>
      <w:bookmarkStart w:id="418" w:name="_Toc108796178"/>
      <w:bookmarkStart w:id="419" w:name="_Toc10374"/>
      <w:r>
        <w:rPr>
          <w:rFonts w:ascii="仿宋" w:hAnsi="仿宋" w:eastAsia="仿宋" w:cs="Arial"/>
          <w:b/>
          <w:bCs/>
          <w:color w:val="000000" w:themeColor="text1"/>
          <w:kern w:val="2"/>
          <w:sz w:val="24"/>
          <w:szCs w:val="24"/>
          <w:highlight w:val="none"/>
          <w14:textFill>
            <w14:solidFill>
              <w14:schemeClr w14:val="tx1"/>
            </w14:solidFill>
          </w14:textFill>
        </w:rPr>
        <w:t>附件</w:t>
      </w:r>
      <w:r>
        <w:rPr>
          <w:rFonts w:hint="eastAsia" w:ascii="仿宋" w:hAnsi="仿宋" w:eastAsia="仿宋" w:cs="Arial"/>
          <w:b/>
          <w:bCs/>
          <w:color w:val="000000" w:themeColor="text1"/>
          <w:kern w:val="2"/>
          <w:sz w:val="24"/>
          <w:szCs w:val="24"/>
          <w:highlight w:val="none"/>
          <w14:textFill>
            <w14:solidFill>
              <w14:schemeClr w14:val="tx1"/>
            </w14:solidFill>
          </w14:textFill>
        </w:rPr>
        <w:t>5</w:t>
      </w:r>
      <w:r>
        <w:rPr>
          <w:rFonts w:ascii="仿宋" w:hAnsi="仿宋" w:eastAsia="仿宋" w:cs="Arial"/>
          <w:b/>
          <w:bCs/>
          <w:color w:val="000000" w:themeColor="text1"/>
          <w:kern w:val="2"/>
          <w:sz w:val="24"/>
          <w:szCs w:val="24"/>
          <w:highlight w:val="none"/>
          <w14:textFill>
            <w14:solidFill>
              <w14:schemeClr w14:val="tx1"/>
            </w14:solidFill>
          </w14:textFill>
        </w:rPr>
        <w:t>–3</w:t>
      </w:r>
      <w:r>
        <w:rPr>
          <w:rFonts w:hint="eastAsia" w:ascii="仿宋" w:hAnsi="仿宋" w:eastAsia="仿宋" w:cs="Arial"/>
          <w:b/>
          <w:bCs/>
          <w:color w:val="000000" w:themeColor="text1"/>
          <w:kern w:val="2"/>
          <w:sz w:val="24"/>
          <w:szCs w:val="24"/>
          <w:highlight w:val="none"/>
          <w:lang w:val="en-US" w:eastAsia="zh-CN"/>
          <w14:textFill>
            <w14:solidFill>
              <w14:schemeClr w14:val="tx1"/>
            </w14:solidFill>
          </w14:textFill>
        </w:rPr>
        <w:t>-1</w:t>
      </w:r>
      <w:r>
        <w:rPr>
          <w:rFonts w:hint="eastAsia" w:ascii="仿宋" w:hAnsi="仿宋" w:eastAsia="仿宋" w:cs="Arial"/>
          <w:b/>
          <w:bCs/>
          <w:color w:val="000000" w:themeColor="text1"/>
          <w:kern w:val="2"/>
          <w:sz w:val="24"/>
          <w:szCs w:val="24"/>
          <w:highlight w:val="none"/>
          <w14:textFill>
            <w14:solidFill>
              <w14:schemeClr w14:val="tx1"/>
            </w14:solidFill>
          </w14:textFill>
        </w:rPr>
        <w:t xml:space="preserve"> </w:t>
      </w:r>
      <w:r>
        <w:rPr>
          <w:rFonts w:ascii="仿宋" w:hAnsi="仿宋" w:eastAsia="仿宋" w:cs="Arial"/>
          <w:b/>
          <w:bCs/>
          <w:color w:val="000000" w:themeColor="text1"/>
          <w:kern w:val="2"/>
          <w:sz w:val="24"/>
          <w:szCs w:val="24"/>
          <w:highlight w:val="none"/>
          <w14:textFill>
            <w14:solidFill>
              <w14:schemeClr w14:val="tx1"/>
            </w14:solidFill>
          </w14:textFill>
        </w:rPr>
        <w:t>会计师事务所出具的上一年度</w:t>
      </w:r>
      <w:r>
        <w:rPr>
          <w:rFonts w:hint="eastAsia" w:ascii="仿宋" w:hAnsi="仿宋" w:eastAsia="仿宋" w:cs="Arial"/>
          <w:b/>
          <w:bCs/>
          <w:color w:val="000000" w:themeColor="text1"/>
          <w:kern w:val="2"/>
          <w:sz w:val="24"/>
          <w:szCs w:val="24"/>
          <w:highlight w:val="none"/>
          <w:lang w:eastAsia="zh-CN"/>
          <w14:textFill>
            <w14:solidFill>
              <w14:schemeClr w14:val="tx1"/>
            </w14:solidFill>
          </w14:textFill>
        </w:rPr>
        <w:t>（</w:t>
      </w:r>
      <w:r>
        <w:rPr>
          <w:rFonts w:hint="eastAsia" w:ascii="仿宋" w:hAnsi="仿宋" w:eastAsia="仿宋" w:cs="Arial"/>
          <w:b/>
          <w:bCs/>
          <w:color w:val="000000" w:themeColor="text1"/>
          <w:kern w:val="2"/>
          <w:sz w:val="24"/>
          <w:szCs w:val="24"/>
          <w:highlight w:val="none"/>
          <w:lang w:val="en-US" w:eastAsia="zh-CN"/>
          <w14:textFill>
            <w14:solidFill>
              <w14:schemeClr w14:val="tx1"/>
            </w14:solidFill>
          </w14:textFill>
        </w:rPr>
        <w:t>2024年</w:t>
      </w:r>
      <w:r>
        <w:rPr>
          <w:rFonts w:hint="eastAsia" w:ascii="仿宋" w:hAnsi="仿宋" w:eastAsia="仿宋" w:cs="Arial"/>
          <w:b/>
          <w:bCs/>
          <w:color w:val="000000" w:themeColor="text1"/>
          <w:kern w:val="2"/>
          <w:sz w:val="24"/>
          <w:szCs w:val="24"/>
          <w:highlight w:val="none"/>
          <w:lang w:eastAsia="zh-CN"/>
          <w14:textFill>
            <w14:solidFill>
              <w14:schemeClr w14:val="tx1"/>
            </w14:solidFill>
          </w14:textFill>
        </w:rPr>
        <w:t>）</w:t>
      </w:r>
      <w:r>
        <w:rPr>
          <w:rFonts w:ascii="仿宋" w:hAnsi="仿宋" w:eastAsia="仿宋" w:cs="Arial"/>
          <w:b/>
          <w:bCs/>
          <w:color w:val="000000" w:themeColor="text1"/>
          <w:kern w:val="2"/>
          <w:sz w:val="24"/>
          <w:szCs w:val="24"/>
          <w:highlight w:val="none"/>
          <w14:textFill>
            <w14:solidFill>
              <w14:schemeClr w14:val="tx1"/>
            </w14:solidFill>
          </w14:textFill>
        </w:rPr>
        <w:t>财务审计报告或新设企业当年验资报告的复印件（</w:t>
      </w:r>
      <w:r>
        <w:rPr>
          <w:rFonts w:ascii="仿宋" w:hAnsi="仿宋" w:eastAsia="仿宋" w:cs="Arial"/>
          <w:b/>
          <w:bCs/>
          <w:color w:val="000000" w:themeColor="text1"/>
          <w:sz w:val="24"/>
          <w:highlight w:val="none"/>
          <w14:textFill>
            <w14:solidFill>
              <w14:schemeClr w14:val="tx1"/>
            </w14:solidFill>
          </w14:textFill>
        </w:rPr>
        <w:t>报告须具有出具单位公章</w:t>
      </w:r>
      <w:r>
        <w:rPr>
          <w:rFonts w:ascii="仿宋" w:hAnsi="仿宋" w:eastAsia="仿宋" w:cs="Arial"/>
          <w:b/>
          <w:bCs/>
          <w:color w:val="000000" w:themeColor="text1"/>
          <w:kern w:val="2"/>
          <w:sz w:val="24"/>
          <w:szCs w:val="24"/>
          <w:highlight w:val="none"/>
          <w14:textFill>
            <w14:solidFill>
              <w14:schemeClr w14:val="tx1"/>
            </w14:solidFill>
          </w14:textFill>
        </w:rPr>
        <w:t>），或银行出具的资信证明</w:t>
      </w:r>
    </w:p>
    <w:p w14:paraId="6E0CB920">
      <w:pPr>
        <w:tabs>
          <w:tab w:val="left" w:pos="5580"/>
        </w:tabs>
        <w:spacing w:before="120" w:line="360" w:lineRule="auto"/>
        <w:ind w:firstLine="549"/>
        <w:jc w:val="center"/>
        <w:rPr>
          <w:rFonts w:ascii="仿宋" w:hAnsi="仿宋" w:eastAsia="仿宋" w:cs="Arial"/>
          <w:b/>
          <w:color w:val="000000" w:themeColor="text1"/>
          <w:sz w:val="24"/>
          <w:highlight w:val="none"/>
          <w14:textFill>
            <w14:solidFill>
              <w14:schemeClr w14:val="tx1"/>
            </w14:solidFill>
          </w14:textFill>
        </w:rPr>
      </w:pPr>
    </w:p>
    <w:p w14:paraId="1DB82882">
      <w:pPr>
        <w:tabs>
          <w:tab w:val="left" w:pos="5580"/>
        </w:tabs>
        <w:spacing w:before="120" w:line="360" w:lineRule="auto"/>
        <w:ind w:firstLine="960"/>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说明：</w:t>
      </w:r>
    </w:p>
    <w:p w14:paraId="1618E658">
      <w:pPr>
        <w:numPr>
          <w:ilvl w:val="1"/>
          <w:numId w:val="63"/>
        </w:numPr>
        <w:tabs>
          <w:tab w:val="left" w:pos="1188"/>
          <w:tab w:val="left" w:pos="5580"/>
          <w:tab w:val="clear" w:pos="1248"/>
        </w:tabs>
        <w:spacing w:before="120" w:line="360" w:lineRule="auto"/>
        <w:ind w:left="1188" w:hanging="360"/>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被邀请谈判人在应答文件中，必须提供本单位上年度经会计师事务所出具的审计报告复印件，</w:t>
      </w:r>
      <w:r>
        <w:rPr>
          <w:rFonts w:ascii="仿宋" w:hAnsi="仿宋" w:eastAsia="仿宋" w:cs="Arial"/>
          <w:bCs/>
          <w:color w:val="000000" w:themeColor="text1"/>
          <w:sz w:val="24"/>
          <w:highlight w:val="none"/>
          <w14:textFill>
            <w14:solidFill>
              <w14:schemeClr w14:val="tx1"/>
            </w14:solidFill>
          </w14:textFill>
        </w:rPr>
        <w:t>报告须具有出具单位公章</w:t>
      </w:r>
      <w:r>
        <w:rPr>
          <w:rFonts w:ascii="仿宋" w:hAnsi="仿宋" w:eastAsia="仿宋" w:cs="Arial"/>
          <w:color w:val="000000" w:themeColor="text1"/>
          <w:sz w:val="24"/>
          <w:highlight w:val="none"/>
          <w14:textFill>
            <w14:solidFill>
              <w14:schemeClr w14:val="tx1"/>
            </w14:solidFill>
          </w14:textFill>
        </w:rPr>
        <w:t>。</w:t>
      </w:r>
    </w:p>
    <w:p w14:paraId="414FBBEB">
      <w:pPr>
        <w:numPr>
          <w:ilvl w:val="1"/>
          <w:numId w:val="63"/>
        </w:numPr>
        <w:tabs>
          <w:tab w:val="left" w:pos="1188"/>
          <w:tab w:val="left" w:pos="5580"/>
          <w:tab w:val="clear" w:pos="1248"/>
        </w:tabs>
        <w:spacing w:before="120" w:line="360" w:lineRule="auto"/>
        <w:ind w:left="1188" w:hanging="360"/>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如果被邀请谈判人为新成立单位，无法提供审计报告，则需提供新企业验资报告复印件，</w:t>
      </w:r>
      <w:r>
        <w:rPr>
          <w:rFonts w:ascii="仿宋" w:hAnsi="仿宋" w:eastAsia="仿宋" w:cs="Arial"/>
          <w:bCs/>
          <w:color w:val="000000" w:themeColor="text1"/>
          <w:sz w:val="24"/>
          <w:highlight w:val="none"/>
          <w14:textFill>
            <w14:solidFill>
              <w14:schemeClr w14:val="tx1"/>
            </w14:solidFill>
          </w14:textFill>
        </w:rPr>
        <w:t>报告须具有出具单位公章</w:t>
      </w:r>
      <w:r>
        <w:rPr>
          <w:rFonts w:ascii="仿宋" w:hAnsi="仿宋" w:eastAsia="仿宋" w:cs="Arial"/>
          <w:color w:val="000000" w:themeColor="text1"/>
          <w:sz w:val="24"/>
          <w:highlight w:val="none"/>
          <w14:textFill>
            <w14:solidFill>
              <w14:schemeClr w14:val="tx1"/>
            </w14:solidFill>
          </w14:textFill>
        </w:rPr>
        <w:t>。</w:t>
      </w:r>
    </w:p>
    <w:p w14:paraId="11A4BC6F">
      <w:pPr>
        <w:numPr>
          <w:ilvl w:val="1"/>
          <w:numId w:val="63"/>
        </w:numPr>
        <w:tabs>
          <w:tab w:val="left" w:pos="1188"/>
          <w:tab w:val="left" w:pos="5580"/>
          <w:tab w:val="clear" w:pos="1248"/>
        </w:tabs>
        <w:spacing w:before="120" w:line="360" w:lineRule="auto"/>
        <w:ind w:left="1188" w:hanging="360"/>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如被邀请谈判人无法提供上年度审计报告或新企业验资报告，则需提供银行出具的资信证明。银行资信证明可提供原件，也可提供银行在谈判日前三个月内开具资信证明的复印件。若提供的是复印件，采购人保留审核原件的权利。</w:t>
      </w:r>
    </w:p>
    <w:p w14:paraId="316F785E">
      <w:pPr>
        <w:numPr>
          <w:ilvl w:val="1"/>
          <w:numId w:val="63"/>
        </w:numPr>
        <w:tabs>
          <w:tab w:val="left" w:pos="1188"/>
          <w:tab w:val="left" w:pos="5580"/>
          <w:tab w:val="clear" w:pos="1248"/>
        </w:tabs>
        <w:spacing w:before="120" w:line="360" w:lineRule="auto"/>
        <w:ind w:left="1188" w:hanging="360"/>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银行资信证明应能说明该被邀请谈判人与银行之间业务往来正常，企业信誉良好等。银行出具的存款证明不能替代银行资信证明。</w:t>
      </w:r>
    </w:p>
    <w:p w14:paraId="5F1AA49C">
      <w:pPr>
        <w:pStyle w:val="5"/>
        <w:ind w:firstLine="0" w:firstLineChars="0"/>
        <w:rPr>
          <w:rFonts w:ascii="仿宋" w:hAnsi="仿宋" w:eastAsia="仿宋" w:cs="Arial"/>
          <w:color w:val="000000" w:themeColor="text1"/>
          <w:highlight w:val="none"/>
          <w14:textFill>
            <w14:solidFill>
              <w14:schemeClr w14:val="tx1"/>
            </w14:solidFill>
          </w14:textFill>
        </w:rPr>
      </w:pPr>
    </w:p>
    <w:p w14:paraId="1627479E">
      <w:pPr>
        <w:pStyle w:val="5"/>
        <w:ind w:firstLine="0" w:firstLineChars="0"/>
        <w:rPr>
          <w:rFonts w:ascii="仿宋" w:hAnsi="仿宋" w:eastAsia="仿宋" w:cs="Arial"/>
          <w:color w:val="000000" w:themeColor="text1"/>
          <w:highlight w:val="none"/>
          <w14:textFill>
            <w14:solidFill>
              <w14:schemeClr w14:val="tx1"/>
            </w14:solidFill>
          </w14:textFill>
        </w:rPr>
      </w:pPr>
    </w:p>
    <w:p w14:paraId="66B92A51">
      <w:pPr>
        <w:pStyle w:val="5"/>
        <w:ind w:firstLine="0" w:firstLineChars="0"/>
        <w:rPr>
          <w:rFonts w:ascii="仿宋" w:hAnsi="仿宋" w:eastAsia="仿宋" w:cs="Arial"/>
          <w:color w:val="000000" w:themeColor="text1"/>
          <w:highlight w:val="none"/>
          <w14:textFill>
            <w14:solidFill>
              <w14:schemeClr w14:val="tx1"/>
            </w14:solidFill>
          </w14:textFill>
        </w:rPr>
      </w:pPr>
    </w:p>
    <w:p w14:paraId="3918DF29">
      <w:pPr>
        <w:pStyle w:val="5"/>
        <w:ind w:firstLine="0" w:firstLineChars="0"/>
        <w:rPr>
          <w:rFonts w:ascii="仿宋" w:hAnsi="仿宋" w:eastAsia="仿宋" w:cs="Arial"/>
          <w:color w:val="000000" w:themeColor="text1"/>
          <w:highlight w:val="none"/>
          <w14:textFill>
            <w14:solidFill>
              <w14:schemeClr w14:val="tx1"/>
            </w14:solidFill>
          </w14:textFill>
        </w:rPr>
      </w:pPr>
    </w:p>
    <w:p w14:paraId="54C801DA">
      <w:pPr>
        <w:pStyle w:val="5"/>
        <w:ind w:firstLine="0" w:firstLineChars="0"/>
        <w:rPr>
          <w:rFonts w:ascii="仿宋" w:hAnsi="仿宋" w:eastAsia="仿宋" w:cs="Arial"/>
          <w:color w:val="000000" w:themeColor="text1"/>
          <w:highlight w:val="none"/>
          <w14:textFill>
            <w14:solidFill>
              <w14:schemeClr w14:val="tx1"/>
            </w14:solidFill>
          </w14:textFill>
        </w:rPr>
      </w:pPr>
    </w:p>
    <w:p w14:paraId="2EC8EABB">
      <w:pPr>
        <w:pStyle w:val="5"/>
        <w:ind w:firstLine="0" w:firstLineChars="0"/>
        <w:rPr>
          <w:rFonts w:ascii="仿宋" w:hAnsi="仿宋" w:eastAsia="仿宋" w:cs="Arial"/>
          <w:color w:val="000000" w:themeColor="text1"/>
          <w:highlight w:val="none"/>
          <w14:textFill>
            <w14:solidFill>
              <w14:schemeClr w14:val="tx1"/>
            </w14:solidFill>
          </w14:textFill>
        </w:rPr>
      </w:pPr>
    </w:p>
    <w:p w14:paraId="71768962">
      <w:pPr>
        <w:pStyle w:val="5"/>
        <w:ind w:firstLine="0" w:firstLineChars="0"/>
        <w:rPr>
          <w:rFonts w:ascii="仿宋" w:hAnsi="仿宋" w:eastAsia="仿宋" w:cs="Arial"/>
          <w:color w:val="000000" w:themeColor="text1"/>
          <w:highlight w:val="none"/>
          <w14:textFill>
            <w14:solidFill>
              <w14:schemeClr w14:val="tx1"/>
            </w14:solidFill>
          </w14:textFill>
        </w:rPr>
      </w:pPr>
    </w:p>
    <w:p w14:paraId="1453129A">
      <w:pPr>
        <w:pStyle w:val="5"/>
        <w:ind w:firstLine="0" w:firstLineChars="0"/>
        <w:rPr>
          <w:rFonts w:ascii="仿宋" w:hAnsi="仿宋" w:eastAsia="仿宋" w:cs="Arial"/>
          <w:color w:val="000000" w:themeColor="text1"/>
          <w:highlight w:val="none"/>
          <w14:textFill>
            <w14:solidFill>
              <w14:schemeClr w14:val="tx1"/>
            </w14:solidFill>
          </w14:textFill>
        </w:rPr>
      </w:pPr>
    </w:p>
    <w:p w14:paraId="6D1D814E">
      <w:pPr>
        <w:pStyle w:val="5"/>
        <w:ind w:firstLine="0" w:firstLineChars="0"/>
        <w:rPr>
          <w:rFonts w:ascii="仿宋" w:hAnsi="仿宋" w:eastAsia="仿宋" w:cs="Arial"/>
          <w:color w:val="000000" w:themeColor="text1"/>
          <w:highlight w:val="none"/>
          <w14:textFill>
            <w14:solidFill>
              <w14:schemeClr w14:val="tx1"/>
            </w14:solidFill>
          </w14:textFill>
        </w:rPr>
      </w:pPr>
    </w:p>
    <w:p w14:paraId="42EB5F2A">
      <w:pPr>
        <w:pStyle w:val="5"/>
        <w:ind w:firstLine="0" w:firstLineChars="0"/>
        <w:rPr>
          <w:rFonts w:ascii="仿宋" w:hAnsi="仿宋" w:eastAsia="仿宋" w:cs="Arial"/>
          <w:color w:val="000000" w:themeColor="text1"/>
          <w:highlight w:val="none"/>
          <w14:textFill>
            <w14:solidFill>
              <w14:schemeClr w14:val="tx1"/>
            </w14:solidFill>
          </w14:textFill>
        </w:rPr>
      </w:pPr>
    </w:p>
    <w:p w14:paraId="6E20718C">
      <w:pPr>
        <w:pStyle w:val="5"/>
        <w:ind w:firstLine="0" w:firstLineChars="0"/>
        <w:rPr>
          <w:rFonts w:ascii="仿宋" w:hAnsi="仿宋" w:eastAsia="仿宋" w:cs="Arial"/>
          <w:color w:val="000000" w:themeColor="text1"/>
          <w:highlight w:val="none"/>
          <w14:textFill>
            <w14:solidFill>
              <w14:schemeClr w14:val="tx1"/>
            </w14:solidFill>
          </w14:textFill>
        </w:rPr>
      </w:pPr>
    </w:p>
    <w:p w14:paraId="2EC554E8">
      <w:pPr>
        <w:pStyle w:val="5"/>
        <w:ind w:firstLine="0" w:firstLineChars="0"/>
        <w:rPr>
          <w:rFonts w:ascii="仿宋" w:hAnsi="仿宋" w:eastAsia="仿宋" w:cs="Arial"/>
          <w:color w:val="000000" w:themeColor="text1"/>
          <w:highlight w:val="none"/>
          <w14:textFill>
            <w14:solidFill>
              <w14:schemeClr w14:val="tx1"/>
            </w14:solidFill>
          </w14:textFill>
        </w:rPr>
      </w:pPr>
    </w:p>
    <w:p w14:paraId="44EEF1A7">
      <w:pPr>
        <w:pStyle w:val="5"/>
        <w:ind w:firstLine="0" w:firstLineChars="0"/>
        <w:rPr>
          <w:rFonts w:ascii="仿宋" w:hAnsi="仿宋" w:eastAsia="仿宋" w:cs="Arial"/>
          <w:color w:val="000000" w:themeColor="text1"/>
          <w:highlight w:val="none"/>
          <w14:textFill>
            <w14:solidFill>
              <w14:schemeClr w14:val="tx1"/>
            </w14:solidFill>
          </w14:textFill>
        </w:rPr>
      </w:pPr>
    </w:p>
    <w:p w14:paraId="4797735C">
      <w:pPr>
        <w:pStyle w:val="5"/>
        <w:ind w:firstLine="0" w:firstLineChars="0"/>
        <w:rPr>
          <w:rFonts w:ascii="仿宋" w:hAnsi="仿宋" w:eastAsia="仿宋" w:cs="Arial"/>
          <w:color w:val="000000" w:themeColor="text1"/>
          <w:highlight w:val="none"/>
          <w14:textFill>
            <w14:solidFill>
              <w14:schemeClr w14:val="tx1"/>
            </w14:solidFill>
          </w14:textFill>
        </w:rPr>
      </w:pPr>
    </w:p>
    <w:p w14:paraId="748F310A">
      <w:pPr>
        <w:pStyle w:val="5"/>
        <w:ind w:firstLine="0" w:firstLineChars="0"/>
        <w:rPr>
          <w:rFonts w:ascii="仿宋" w:hAnsi="仿宋" w:eastAsia="仿宋" w:cs="Arial"/>
          <w:color w:val="000000" w:themeColor="text1"/>
          <w:highlight w:val="none"/>
          <w14:textFill>
            <w14:solidFill>
              <w14:schemeClr w14:val="tx1"/>
            </w14:solidFill>
          </w14:textFill>
        </w:rPr>
      </w:pPr>
    </w:p>
    <w:p w14:paraId="553AE8FF">
      <w:pPr>
        <w:pStyle w:val="5"/>
        <w:ind w:firstLine="0" w:firstLineChars="0"/>
        <w:rPr>
          <w:rFonts w:ascii="仿宋" w:hAnsi="仿宋" w:eastAsia="仿宋" w:cs="Arial"/>
          <w:color w:val="000000" w:themeColor="text1"/>
          <w:highlight w:val="none"/>
          <w14:textFill>
            <w14:solidFill>
              <w14:schemeClr w14:val="tx1"/>
            </w14:solidFill>
          </w14:textFill>
        </w:rPr>
      </w:pPr>
    </w:p>
    <w:p w14:paraId="06071D48">
      <w:pPr>
        <w:pStyle w:val="5"/>
        <w:ind w:firstLine="0" w:firstLineChars="0"/>
        <w:rPr>
          <w:rFonts w:ascii="仿宋" w:hAnsi="仿宋" w:eastAsia="仿宋" w:cs="Arial"/>
          <w:color w:val="000000" w:themeColor="text1"/>
          <w:highlight w:val="none"/>
          <w14:textFill>
            <w14:solidFill>
              <w14:schemeClr w14:val="tx1"/>
            </w14:solidFill>
          </w14:textFill>
        </w:rPr>
      </w:pPr>
    </w:p>
    <w:p w14:paraId="573AA9DB">
      <w:pPr>
        <w:pStyle w:val="5"/>
        <w:ind w:firstLine="0" w:firstLineChars="0"/>
        <w:rPr>
          <w:rFonts w:ascii="仿宋" w:hAnsi="仿宋" w:eastAsia="仿宋" w:cs="Arial"/>
          <w:color w:val="000000" w:themeColor="text1"/>
          <w:highlight w:val="none"/>
          <w14:textFill>
            <w14:solidFill>
              <w14:schemeClr w14:val="tx1"/>
            </w14:solidFill>
          </w14:textFill>
        </w:rPr>
      </w:pPr>
    </w:p>
    <w:p w14:paraId="4F385961">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3AC1CA50">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bookmarkStart w:id="420" w:name="_Toc10862"/>
      <w:r>
        <w:rPr>
          <w:rStyle w:val="62"/>
          <w:rFonts w:hint="eastAsia" w:ascii="仿宋" w:hAnsi="仿宋" w:eastAsia="仿宋" w:cs="仿宋"/>
          <w:b/>
          <w:color w:val="000000" w:themeColor="text1"/>
          <w:sz w:val="24"/>
          <w:szCs w:val="24"/>
          <w:highlight w:val="none"/>
          <w14:textFill>
            <w14:solidFill>
              <w14:schemeClr w14:val="tx1"/>
            </w14:solidFill>
          </w14:textFill>
        </w:rPr>
        <w:t>附件5-3</w:t>
      </w:r>
      <w:r>
        <w:rPr>
          <w:rStyle w:val="62"/>
          <w:rFonts w:hint="eastAsia" w:ascii="仿宋" w:hAnsi="仿宋" w:cs="仿宋"/>
          <w:b/>
          <w:color w:val="000000" w:themeColor="text1"/>
          <w:sz w:val="24"/>
          <w:szCs w:val="24"/>
          <w:highlight w:val="none"/>
          <w:lang w:val="en-US" w:eastAsia="zh-CN"/>
          <w14:textFill>
            <w14:solidFill>
              <w14:schemeClr w14:val="tx1"/>
            </w14:solidFill>
          </w14:textFill>
        </w:rPr>
        <w:t xml:space="preserve">-2 </w:t>
      </w:r>
      <w:r>
        <w:rPr>
          <w:rFonts w:hint="eastAsia" w:ascii="仿宋" w:hAnsi="仿宋" w:cs="Arial"/>
          <w:color w:val="000000" w:themeColor="text1"/>
          <w:sz w:val="24"/>
          <w:highlight w:val="none"/>
          <w:lang w:val="en-US" w:eastAsia="zh-CN"/>
          <w14:textFill>
            <w14:solidFill>
              <w14:schemeClr w14:val="tx1"/>
            </w14:solidFill>
          </w14:textFill>
        </w:rPr>
        <w:t>有效的授权资料（如有），格式要求详见附件14</w:t>
      </w:r>
      <w:bookmarkEnd w:id="420"/>
    </w:p>
    <w:p w14:paraId="31127DE2">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67BE6597">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5BB6FF32">
      <w:pPr>
        <w:pStyle w:val="116"/>
        <w:numPr>
          <w:ilvl w:val="0"/>
          <w:numId w:val="0"/>
        </w:numPr>
        <w:spacing w:before="120" w:line="360" w:lineRule="auto"/>
        <w:rPr>
          <w:rFonts w:hint="eastAsia" w:ascii="仿宋" w:hAnsi="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若为代理商投标的，需提供</w:t>
      </w:r>
      <w:r>
        <w:rPr>
          <w:rFonts w:hint="eastAsia" w:ascii="仿宋" w:hAnsi="仿宋" w:eastAsia="仿宋" w:cs="仿宋"/>
          <w:color w:val="000000" w:themeColor="text1"/>
          <w:sz w:val="24"/>
          <w:szCs w:val="24"/>
          <w:highlight w:val="none"/>
          <w14:textFill>
            <w14:solidFill>
              <w14:schemeClr w14:val="tx1"/>
            </w14:solidFill>
          </w14:textFill>
        </w:rPr>
        <w:t>制造商</w:t>
      </w:r>
      <w:r>
        <w:rPr>
          <w:rFonts w:hint="eastAsia" w:ascii="仿宋" w:hAnsi="仿宋" w:eastAsia="仿宋" w:cs="仿宋"/>
          <w:color w:val="000000" w:themeColor="text1"/>
          <w:sz w:val="24"/>
          <w:szCs w:val="24"/>
          <w:highlight w:val="none"/>
          <w:lang w:eastAsia="zh-CN"/>
          <w14:textFill>
            <w14:solidFill>
              <w14:schemeClr w14:val="tx1"/>
            </w14:solidFill>
          </w14:textFill>
        </w:rPr>
        <w:t>出具的针对本项目的唯一授权书（同一品牌只能指定唯一代理商）和原厂质保承诺函。</w:t>
      </w:r>
    </w:p>
    <w:p w14:paraId="0C058650">
      <w:pPr>
        <w:pStyle w:val="116"/>
        <w:numPr>
          <w:ilvl w:val="0"/>
          <w:numId w:val="0"/>
        </w:numPr>
        <w:spacing w:before="120" w:line="360" w:lineRule="auto"/>
        <w:rPr>
          <w:rFonts w:hint="eastAsia" w:ascii="仿宋" w:hAnsi="仿宋" w:cs="仿宋"/>
          <w:color w:val="000000" w:themeColor="text1"/>
          <w:sz w:val="24"/>
          <w:szCs w:val="24"/>
          <w:highlight w:val="none"/>
          <w:lang w:val="en-US" w:eastAsia="zh-CN"/>
          <w14:textFill>
            <w14:solidFill>
              <w14:schemeClr w14:val="tx1"/>
            </w14:solidFill>
          </w14:textFill>
        </w:rPr>
      </w:pPr>
      <w:r>
        <w:rPr>
          <w:rFonts w:hint="eastAsia" w:ascii="仿宋" w:hAnsi="仿宋" w:cs="仿宋"/>
          <w:color w:val="000000" w:themeColor="text1"/>
          <w:sz w:val="24"/>
          <w:szCs w:val="24"/>
          <w:highlight w:val="none"/>
          <w:lang w:val="en-US" w:eastAsia="zh-CN"/>
          <w14:textFill>
            <w14:solidFill>
              <w14:schemeClr w14:val="tx1"/>
            </w14:solidFill>
          </w14:textFill>
        </w:rPr>
        <w:t>若为</w:t>
      </w:r>
      <w:r>
        <w:rPr>
          <w:rFonts w:hint="eastAsia" w:ascii="仿宋" w:hAnsi="仿宋" w:cs="仿宋"/>
          <w:color w:val="000000" w:themeColor="text1"/>
          <w:sz w:val="24"/>
          <w:szCs w:val="24"/>
          <w:highlight w:val="none"/>
          <w14:textFill>
            <w14:solidFill>
              <w14:schemeClr w14:val="tx1"/>
            </w14:solidFill>
          </w14:textFill>
        </w:rPr>
        <w:t>分公司投标的，需提供具有法人资格的总公司的营业执照副本</w:t>
      </w:r>
      <w:r>
        <w:rPr>
          <w:rFonts w:hint="eastAsia" w:ascii="仿宋" w:hAnsi="仿宋" w:cs="仿宋"/>
          <w:color w:val="000000" w:themeColor="text1"/>
          <w:sz w:val="24"/>
          <w:szCs w:val="24"/>
          <w:highlight w:val="none"/>
          <w:lang w:eastAsia="zh-CN"/>
          <w14:textFill>
            <w14:solidFill>
              <w14:schemeClr w14:val="tx1"/>
            </w14:solidFill>
          </w14:textFill>
        </w:rPr>
        <w:t>及本项目需要的资质证书</w:t>
      </w:r>
      <w:r>
        <w:rPr>
          <w:rFonts w:hint="eastAsia" w:ascii="仿宋" w:hAnsi="仿宋" w:cs="仿宋"/>
          <w:color w:val="000000" w:themeColor="text1"/>
          <w:sz w:val="24"/>
          <w:szCs w:val="24"/>
          <w:highlight w:val="none"/>
          <w14:textFill>
            <w14:solidFill>
              <w14:schemeClr w14:val="tx1"/>
            </w14:solidFill>
          </w14:textFill>
        </w:rPr>
        <w:t>复印件及</w:t>
      </w:r>
      <w:r>
        <w:rPr>
          <w:rFonts w:hint="eastAsia" w:ascii="仿宋" w:hAnsi="仿宋" w:cs="仿宋"/>
          <w:color w:val="000000" w:themeColor="text1"/>
          <w:sz w:val="24"/>
          <w:szCs w:val="24"/>
          <w:highlight w:val="none"/>
          <w:lang w:eastAsia="zh-CN"/>
          <w14:textFill>
            <w14:solidFill>
              <w14:schemeClr w14:val="tx1"/>
            </w14:solidFill>
          </w14:textFill>
        </w:rPr>
        <w:t>针对本项目的</w:t>
      </w:r>
      <w:r>
        <w:rPr>
          <w:rFonts w:hint="eastAsia" w:ascii="仿宋" w:hAnsi="仿宋" w:cs="仿宋"/>
          <w:color w:val="000000" w:themeColor="text1"/>
          <w:sz w:val="24"/>
          <w:szCs w:val="24"/>
          <w:highlight w:val="none"/>
          <w14:textFill>
            <w14:solidFill>
              <w14:schemeClr w14:val="tx1"/>
            </w14:solidFill>
          </w14:textFill>
        </w:rPr>
        <w:t>授权书。总公司</w:t>
      </w:r>
      <w:r>
        <w:rPr>
          <w:rFonts w:hint="eastAsia" w:ascii="仿宋" w:hAnsi="仿宋" w:cs="仿宋"/>
          <w:color w:val="000000" w:themeColor="text1"/>
          <w:sz w:val="24"/>
          <w:szCs w:val="24"/>
          <w:highlight w:val="none"/>
          <w:lang w:eastAsia="zh-CN"/>
          <w14:textFill>
            <w14:solidFill>
              <w14:schemeClr w14:val="tx1"/>
            </w14:solidFill>
          </w14:textFill>
        </w:rPr>
        <w:t>须</w:t>
      </w:r>
      <w:r>
        <w:rPr>
          <w:rFonts w:hint="eastAsia" w:ascii="仿宋" w:hAnsi="仿宋" w:cs="仿宋"/>
          <w:color w:val="000000" w:themeColor="text1"/>
          <w:sz w:val="24"/>
          <w:szCs w:val="24"/>
          <w:highlight w:val="none"/>
          <w14:textFill>
            <w14:solidFill>
              <w14:schemeClr w14:val="tx1"/>
            </w14:solidFill>
          </w14:textFill>
        </w:rPr>
        <w:t>就本项目出具授权书。已由总公司授权的，总公司取得的相关资质证书对分公司有效。</w:t>
      </w:r>
    </w:p>
    <w:p w14:paraId="6ABBBECC">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76814ADC">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254FCDAB">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452DF9BE">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644BAF3C">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56F60DE8">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320422CC">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37E9C408">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0A9301E3">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2502EF84">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1BC05352">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42D61341">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4A07E550">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31D9FC4E">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3A166F9C">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5EA9EB54">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5EEFA4AE">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68CEBC5E">
      <w:pPr>
        <w:pStyle w:val="29"/>
        <w:jc w:val="both"/>
        <w:rPr>
          <w:rStyle w:val="62"/>
          <w:rFonts w:hint="eastAsia" w:ascii="仿宋" w:hAnsi="仿宋" w:eastAsia="仿宋" w:cs="仿宋"/>
          <w:b/>
          <w:color w:val="000000" w:themeColor="text1"/>
          <w:sz w:val="24"/>
          <w:szCs w:val="24"/>
          <w:highlight w:val="none"/>
          <w14:textFill>
            <w14:solidFill>
              <w14:schemeClr w14:val="tx1"/>
            </w14:solidFill>
          </w14:textFill>
        </w:rPr>
      </w:pPr>
    </w:p>
    <w:p w14:paraId="3F35B6BD">
      <w:pPr>
        <w:numPr>
          <w:ilvl w:val="-1"/>
          <w:numId w:val="0"/>
        </w:numPr>
        <w:spacing w:before="0" w:line="240" w:lineRule="auto"/>
        <w:ind w:left="0" w:firstLine="0"/>
        <w:rPr>
          <w:rFonts w:hint="eastAsia" w:ascii="仿宋" w:hAnsi="仿宋" w:eastAsia="仿宋" w:cs="Arial"/>
          <w:color w:val="000000" w:themeColor="text1"/>
          <w:sz w:val="24"/>
          <w:highlight w:val="none"/>
          <w:lang w:val="en-US" w:eastAsia="zh-CN"/>
          <w14:textFill>
            <w14:solidFill>
              <w14:schemeClr w14:val="tx1"/>
            </w14:solidFill>
          </w14:textFill>
        </w:rPr>
      </w:pPr>
      <w:r>
        <w:rPr>
          <w:rStyle w:val="62"/>
          <w:rFonts w:hint="default" w:ascii="仿宋" w:hAnsi="仿宋" w:eastAsia="仿宋" w:cs="仿宋"/>
          <w:b/>
          <w:color w:val="000000" w:themeColor="text1"/>
          <w:sz w:val="24"/>
          <w:szCs w:val="24"/>
          <w:highlight w:val="none"/>
          <w14:textFill>
            <w14:solidFill>
              <w14:schemeClr w14:val="tx1"/>
            </w14:solidFill>
          </w14:textFill>
        </w:rPr>
        <w:t>附件5-3</w:t>
      </w:r>
      <w:r>
        <w:rPr>
          <w:rStyle w:val="62"/>
          <w:rFonts w:hint="default" w:ascii="仿宋" w:hAnsi="仿宋" w:cs="仿宋"/>
          <w:b/>
          <w:color w:val="000000" w:themeColor="text1"/>
          <w:sz w:val="24"/>
          <w:szCs w:val="24"/>
          <w:highlight w:val="none"/>
          <w:lang w:val="en-US" w:eastAsia="zh-CN"/>
          <w14:textFill>
            <w14:solidFill>
              <w14:schemeClr w14:val="tx1"/>
            </w14:solidFill>
          </w14:textFill>
        </w:rPr>
        <w:t xml:space="preserve">-3 </w:t>
      </w:r>
      <w:r>
        <w:rPr>
          <w:rFonts w:hint="eastAsia" w:ascii="仿宋" w:hAnsi="仿宋" w:cs="仿宋"/>
          <w:b/>
          <w:bCs/>
          <w:color w:val="000000" w:themeColor="text1"/>
          <w:sz w:val="24"/>
          <w:szCs w:val="24"/>
          <w:highlight w:val="none"/>
          <w:lang w:val="en-US" w:eastAsia="zh-CN"/>
          <w14:textFill>
            <w14:solidFill>
              <w14:schemeClr w14:val="tx1"/>
            </w14:solidFill>
          </w14:textFill>
        </w:rPr>
        <w:t>投标人认为有必要提供的其他资格证明文件</w:t>
      </w:r>
    </w:p>
    <w:p w14:paraId="2D213C90">
      <w:pPr>
        <w:spacing w:after="240" w:line="360" w:lineRule="auto"/>
        <w:outlineLvl w:val="1"/>
        <w:rPr>
          <w:rFonts w:ascii="仿宋" w:hAnsi="仿宋" w:cs="仿宋"/>
          <w:b/>
          <w:bCs/>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br w:type="page"/>
      </w:r>
      <w:bookmarkStart w:id="421" w:name="_Toc11123"/>
      <w:r>
        <w:rPr>
          <w:rFonts w:hint="eastAsia" w:ascii="仿宋" w:hAnsi="仿宋" w:cs="仿宋"/>
          <w:b/>
          <w:bCs/>
          <w:color w:val="000000" w:themeColor="text1"/>
          <w:highlight w:val="none"/>
          <w14:textFill>
            <w14:solidFill>
              <w14:schemeClr w14:val="tx1"/>
            </w14:solidFill>
          </w14:textFill>
        </w:rPr>
        <w:t>附件6-1 投标声明</w:t>
      </w:r>
      <w:bookmarkEnd w:id="415"/>
      <w:bookmarkEnd w:id="416"/>
      <w:bookmarkEnd w:id="417"/>
      <w:bookmarkEnd w:id="418"/>
      <w:bookmarkEnd w:id="419"/>
      <w:bookmarkEnd w:id="421"/>
    </w:p>
    <w:p w14:paraId="777488FF">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致：中国银行股份有限公司青海省分行</w:t>
      </w:r>
    </w:p>
    <w:p w14:paraId="7122175C">
      <w:pPr>
        <w:jc w:val="center"/>
        <w:outlineLvl w:val="2"/>
        <w:rPr>
          <w:rFonts w:ascii="仿宋" w:hAnsi="仿宋" w:cs="仿宋"/>
          <w:b/>
          <w:bCs/>
          <w:color w:val="000000" w:themeColor="text1"/>
          <w:highlight w:val="none"/>
          <w14:textFill>
            <w14:solidFill>
              <w14:schemeClr w14:val="tx1"/>
            </w14:solidFill>
          </w14:textFill>
        </w:rPr>
      </w:pPr>
      <w:bookmarkStart w:id="422" w:name="_Toc11169"/>
      <w:bookmarkStart w:id="423" w:name="_Toc150933649"/>
      <w:bookmarkStart w:id="424" w:name="_Toc13797"/>
      <w:r>
        <w:rPr>
          <w:rFonts w:hint="eastAsia" w:ascii="仿宋" w:hAnsi="仿宋" w:cs="仿宋"/>
          <w:b/>
          <w:bCs/>
          <w:color w:val="000000" w:themeColor="text1"/>
          <w:highlight w:val="none"/>
          <w14:textFill>
            <w14:solidFill>
              <w14:schemeClr w14:val="tx1"/>
            </w14:solidFill>
          </w14:textFill>
        </w:rPr>
        <w:t>投标声明</w:t>
      </w:r>
      <w:bookmarkEnd w:id="422"/>
      <w:bookmarkEnd w:id="423"/>
      <w:bookmarkEnd w:id="424"/>
    </w:p>
    <w:p w14:paraId="0F1B7D02">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尊敬的女士/先生：</w:t>
      </w:r>
    </w:p>
    <w:p w14:paraId="357E34A0">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为响应你方的[</w:t>
      </w:r>
      <w:r>
        <w:rPr>
          <w:rFonts w:hint="eastAsia" w:ascii="仿宋" w:hAnsi="仿宋" w:cs="仿宋"/>
          <w:color w:val="000000" w:themeColor="text1"/>
          <w:highlight w:val="none"/>
          <w:u w:val="single"/>
          <w14:textFill>
            <w14:solidFill>
              <w14:schemeClr w14:val="tx1"/>
            </w14:solidFill>
          </w14:textFill>
        </w:rPr>
        <w:t>招标编号]</w:t>
      </w:r>
      <w:r>
        <w:rPr>
          <w:rFonts w:hint="eastAsia" w:ascii="仿宋" w:hAnsi="仿宋" w:cs="仿宋"/>
          <w:color w:val="000000" w:themeColor="text1"/>
          <w:highlight w:val="none"/>
          <w14:textFill>
            <w14:solidFill>
              <w14:schemeClr w14:val="tx1"/>
            </w14:solidFill>
          </w14:textFill>
        </w:rPr>
        <w:t>投标邀请，下述签字人自愿参与投标，提供招标文件采购需求书中规定的</w:t>
      </w:r>
      <w:r>
        <w:rPr>
          <w:rFonts w:hint="eastAsia" w:ascii="仿宋" w:hAnsi="仿宋" w:cs="仿宋"/>
          <w:color w:val="000000" w:themeColor="text1"/>
          <w:highlight w:val="none"/>
          <w:lang w:eastAsia="zh-Hans"/>
          <w14:textFill>
            <w14:solidFill>
              <w14:schemeClr w14:val="tx1"/>
            </w14:solidFill>
          </w14:textFill>
        </w:rPr>
        <w:t>全部内容</w:t>
      </w:r>
      <w:r>
        <w:rPr>
          <w:rFonts w:hint="eastAsia" w:ascii="仿宋" w:hAnsi="仿宋" w:cs="仿宋"/>
          <w:color w:val="000000" w:themeColor="text1"/>
          <w:highlight w:val="none"/>
          <w14:textFill>
            <w14:solidFill>
              <w14:schemeClr w14:val="tx1"/>
            </w14:solidFill>
          </w14:textFill>
        </w:rPr>
        <w:t>，提交下述文件并声明全部说明是真实的和正确的。下述签字人将就下述文件中存在的虚假或不真实内容对招标代理机构和招标人承担法律责任。</w:t>
      </w:r>
    </w:p>
    <w:p w14:paraId="330C5B9E">
      <w:pPr>
        <w:pStyle w:val="116"/>
        <w:numPr>
          <w:ilvl w:val="0"/>
          <w:numId w:val="64"/>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我方的资格声明，各有[</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]份正本，[</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]份副本</w:t>
      </w:r>
      <w:r>
        <w:rPr>
          <w:rFonts w:hint="eastAsia" w:ascii="仿宋" w:hAnsi="仿宋" w:cs="仿宋"/>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]份电子版文件。</w:t>
      </w:r>
    </w:p>
    <w:p w14:paraId="302EFD7E">
      <w:pPr>
        <w:pStyle w:val="116"/>
        <w:numPr>
          <w:ilvl w:val="0"/>
          <w:numId w:val="64"/>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下述签字人证明本资格文件中的内容是真实的和正确的。</w:t>
      </w:r>
    </w:p>
    <w:p w14:paraId="60C7AEC6">
      <w:pPr>
        <w:pStyle w:val="116"/>
        <w:numPr>
          <w:ilvl w:val="0"/>
          <w:numId w:val="64"/>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下述签字人知道，招标人可能要求其提供进一步的资格材料并同意按招标人的要求提交。</w:t>
      </w:r>
    </w:p>
    <w:p w14:paraId="0152C728">
      <w:pPr>
        <w:pStyle w:val="116"/>
        <w:spacing w:before="1200" w:line="360" w:lineRule="auto"/>
        <w:ind w:left="454" w:firstLine="0" w:firstLineChars="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投标人名称（盖章）</w:t>
      </w:r>
      <w:r>
        <w:rPr>
          <w:rFonts w:hint="eastAsia" w:ascii="仿宋" w:hAnsi="仿宋" w:cs="仿宋"/>
          <w:color w:val="000000" w:themeColor="text1"/>
          <w:highlight w:val="none"/>
          <w:u w:val="single"/>
          <w14:textFill>
            <w14:solidFill>
              <w14:schemeClr w14:val="tx1"/>
            </w14:solidFill>
          </w14:textFill>
        </w:rPr>
        <w:t xml:space="preserve">                                 </w:t>
      </w:r>
    </w:p>
    <w:p w14:paraId="12CEA5B9">
      <w:pPr>
        <w:pStyle w:val="116"/>
        <w:spacing w:line="360" w:lineRule="auto"/>
        <w:ind w:left="454" w:firstLine="0" w:firstLineChars="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签字人姓名和职务</w:t>
      </w:r>
      <w:r>
        <w:rPr>
          <w:rFonts w:hint="eastAsia" w:ascii="仿宋" w:hAnsi="仿宋" w:cs="仿宋"/>
          <w:color w:val="000000" w:themeColor="text1"/>
          <w:highlight w:val="none"/>
          <w:u w:val="single"/>
          <w14:textFill>
            <w14:solidFill>
              <w14:schemeClr w14:val="tx1"/>
            </w14:solidFill>
          </w14:textFill>
        </w:rPr>
        <w:t xml:space="preserve">                                   </w:t>
      </w:r>
    </w:p>
    <w:p w14:paraId="559446D8">
      <w:pPr>
        <w:pStyle w:val="116"/>
        <w:spacing w:line="360" w:lineRule="auto"/>
        <w:ind w:left="454" w:firstLine="0" w:firstLineChars="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签字人签字</w:t>
      </w:r>
      <w:r>
        <w:rPr>
          <w:rFonts w:hint="eastAsia" w:ascii="仿宋" w:hAnsi="仿宋" w:cs="仿宋"/>
          <w:color w:val="000000" w:themeColor="text1"/>
          <w:highlight w:val="none"/>
          <w:u w:val="single"/>
          <w14:textFill>
            <w14:solidFill>
              <w14:schemeClr w14:val="tx1"/>
            </w14:solidFill>
          </w14:textFill>
        </w:rPr>
        <w:t xml:space="preserve">                                         </w:t>
      </w:r>
    </w:p>
    <w:p w14:paraId="33F038CD">
      <w:pPr>
        <w:pStyle w:val="116"/>
        <w:spacing w:line="360" w:lineRule="auto"/>
        <w:ind w:left="454" w:firstLine="0" w:firstLineChars="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签字日期</w:t>
      </w:r>
      <w:r>
        <w:rPr>
          <w:rFonts w:hint="eastAsia" w:ascii="仿宋" w:hAnsi="仿宋" w:cs="仿宋"/>
          <w:color w:val="000000" w:themeColor="text1"/>
          <w:highlight w:val="none"/>
          <w:u w:val="single"/>
          <w14:textFill>
            <w14:solidFill>
              <w14:schemeClr w14:val="tx1"/>
            </w14:solidFill>
          </w14:textFill>
        </w:rPr>
        <w:t xml:space="preserve">                                           </w:t>
      </w:r>
    </w:p>
    <w:p w14:paraId="1F17B828">
      <w:pPr>
        <w:pStyle w:val="116"/>
        <w:spacing w:line="360" w:lineRule="auto"/>
        <w:ind w:left="454" w:firstLine="0" w:firstLineChars="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电话</w:t>
      </w:r>
      <w:r>
        <w:rPr>
          <w:rFonts w:hint="eastAsia" w:ascii="仿宋" w:hAnsi="仿宋" w:cs="仿宋"/>
          <w:color w:val="000000" w:themeColor="text1"/>
          <w:highlight w:val="none"/>
          <w:u w:val="single"/>
          <w14:textFill>
            <w14:solidFill>
              <w14:schemeClr w14:val="tx1"/>
            </w14:solidFill>
          </w14:textFill>
        </w:rPr>
        <w:t xml:space="preserve">                                               </w:t>
      </w:r>
    </w:p>
    <w:p w14:paraId="1CDB125D">
      <w:pPr>
        <w:pStyle w:val="116"/>
        <w:spacing w:line="360" w:lineRule="auto"/>
        <w:ind w:left="454" w:firstLine="0" w:firstLineChars="0"/>
        <w:rPr>
          <w:rFonts w:ascii="仿宋" w:hAnsi="仿宋" w:cs="仿宋"/>
          <w:color w:val="000000" w:themeColor="text1"/>
          <w:highlight w:val="none"/>
          <w:u w:val="singl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highlight w:val="none"/>
          <w14:textFill>
            <w14:solidFill>
              <w14:schemeClr w14:val="tx1"/>
            </w14:solidFill>
          </w14:textFill>
        </w:rPr>
        <w:t>电子函件</w:t>
      </w:r>
      <w:r>
        <w:rPr>
          <w:rFonts w:hint="eastAsia" w:ascii="仿宋" w:hAnsi="仿宋" w:cs="仿宋"/>
          <w:color w:val="000000" w:themeColor="text1"/>
          <w:highlight w:val="none"/>
          <w:u w:val="single"/>
          <w14:textFill>
            <w14:solidFill>
              <w14:schemeClr w14:val="tx1"/>
            </w14:solidFill>
          </w14:textFill>
        </w:rPr>
        <w:t xml:space="preserve">                                          </w:t>
      </w:r>
    </w:p>
    <w:p w14:paraId="7577BFCF">
      <w:pPr>
        <w:spacing w:line="360" w:lineRule="auto"/>
        <w:outlineLvl w:val="1"/>
        <w:rPr>
          <w:rFonts w:ascii="仿宋" w:hAnsi="仿宋" w:cs="仿宋"/>
          <w:b/>
          <w:bCs/>
          <w:color w:val="000000" w:themeColor="text1"/>
          <w:highlight w:val="none"/>
          <w14:textFill>
            <w14:solidFill>
              <w14:schemeClr w14:val="tx1"/>
            </w14:solidFill>
          </w14:textFill>
        </w:rPr>
      </w:pPr>
      <w:bookmarkStart w:id="425" w:name="_Toc108796179"/>
      <w:bookmarkStart w:id="426" w:name="_Toc149230430"/>
      <w:bookmarkStart w:id="427" w:name="_Toc7094"/>
      <w:bookmarkStart w:id="428" w:name="_Toc150933650"/>
      <w:bookmarkStart w:id="429" w:name="_Toc6065"/>
      <w:bookmarkStart w:id="430" w:name="_Toc3795"/>
      <w:r>
        <w:rPr>
          <w:rFonts w:hint="eastAsia" w:ascii="仿宋" w:hAnsi="仿宋" w:cs="仿宋"/>
          <w:b/>
          <w:bCs/>
          <w:color w:val="000000" w:themeColor="text1"/>
          <w:highlight w:val="none"/>
          <w14:textFill>
            <w14:solidFill>
              <w14:schemeClr w14:val="tx1"/>
            </w14:solidFill>
          </w14:textFill>
        </w:rPr>
        <w:t>附件6-2 投标人的资格声明</w:t>
      </w:r>
      <w:bookmarkEnd w:id="425"/>
      <w:bookmarkEnd w:id="426"/>
      <w:bookmarkEnd w:id="427"/>
      <w:bookmarkEnd w:id="428"/>
      <w:bookmarkEnd w:id="429"/>
      <w:bookmarkEnd w:id="430"/>
    </w:p>
    <w:p w14:paraId="435EB9D2">
      <w:pPr>
        <w:numPr>
          <w:ilvl w:val="0"/>
          <w:numId w:val="6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名称及概况：</w:t>
      </w:r>
    </w:p>
    <w:p w14:paraId="4BB695B8">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w:t>
      </w:r>
      <w:r>
        <w:rPr>
          <w:rFonts w:hint="eastAsia" w:ascii="仿宋" w:hAnsi="仿宋" w:cs="仿宋"/>
          <w:color w:val="000000" w:themeColor="text1"/>
          <w:highlight w:val="none"/>
          <w:u w:val="single"/>
          <w14:textFill>
            <w14:solidFill>
              <w14:schemeClr w14:val="tx1"/>
            </w14:solidFill>
          </w14:textFill>
        </w:rPr>
        <w:t xml:space="preserve">                                      </w:t>
      </w:r>
    </w:p>
    <w:p w14:paraId="4916FD2E">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总部地址：</w:t>
      </w:r>
      <w:r>
        <w:rPr>
          <w:rFonts w:hint="eastAsia" w:ascii="仿宋" w:hAnsi="仿宋" w:cs="仿宋"/>
          <w:color w:val="000000" w:themeColor="text1"/>
          <w:highlight w:val="none"/>
          <w:u w:val="single"/>
          <w14:textFill>
            <w14:solidFill>
              <w14:schemeClr w14:val="tx1"/>
            </w14:solidFill>
          </w14:textFill>
        </w:rPr>
        <w:t xml:space="preserve">                                        </w:t>
      </w:r>
    </w:p>
    <w:p w14:paraId="72F3DF61">
      <w:pPr>
        <w:pStyle w:val="116"/>
        <w:spacing w:before="120" w:line="360" w:lineRule="auto"/>
        <w:ind w:left="420" w:firstLine="48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电传/传真/电话号码：</w:t>
      </w:r>
      <w:r>
        <w:rPr>
          <w:rFonts w:hint="eastAsia" w:ascii="仿宋" w:hAnsi="仿宋" w:cs="仿宋"/>
          <w:color w:val="000000" w:themeColor="text1"/>
          <w:highlight w:val="none"/>
          <w:u w:val="single"/>
          <w14:textFill>
            <w14:solidFill>
              <w14:schemeClr w14:val="tx1"/>
            </w14:solidFill>
          </w14:textFill>
        </w:rPr>
        <w:t xml:space="preserve">                                      </w:t>
      </w:r>
    </w:p>
    <w:p w14:paraId="28CC2AD3">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成立和/或注册日期：</w:t>
      </w:r>
      <w:r>
        <w:rPr>
          <w:rFonts w:hint="eastAsia" w:ascii="仿宋" w:hAnsi="仿宋" w:cs="仿宋"/>
          <w:color w:val="000000" w:themeColor="text1"/>
          <w:highlight w:val="none"/>
          <w:u w:val="single"/>
          <w14:textFill>
            <w14:solidFill>
              <w14:schemeClr w14:val="tx1"/>
            </w14:solidFill>
          </w14:textFill>
        </w:rPr>
        <w:t xml:space="preserve">                               </w:t>
      </w:r>
    </w:p>
    <w:p w14:paraId="182D538C">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实收资本：</w:t>
      </w:r>
      <w:r>
        <w:rPr>
          <w:rFonts w:hint="eastAsia" w:ascii="仿宋" w:hAnsi="仿宋" w:cs="仿宋"/>
          <w:color w:val="000000" w:themeColor="text1"/>
          <w:highlight w:val="none"/>
          <w:u w:val="single"/>
          <w14:textFill>
            <w14:solidFill>
              <w14:schemeClr w14:val="tx1"/>
            </w14:solidFill>
          </w14:textFill>
        </w:rPr>
        <w:t xml:space="preserve">                                        </w:t>
      </w:r>
    </w:p>
    <w:p w14:paraId="11686A92">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主要负责人姓名：（可选填）</w:t>
      </w:r>
      <w:r>
        <w:rPr>
          <w:rFonts w:hint="eastAsia" w:ascii="仿宋" w:hAnsi="仿宋" w:cs="仿宋"/>
          <w:color w:val="000000" w:themeColor="text1"/>
          <w:highlight w:val="none"/>
          <w:u w:val="single"/>
          <w14:textFill>
            <w14:solidFill>
              <w14:schemeClr w14:val="tx1"/>
            </w14:solidFill>
          </w14:textFill>
        </w:rPr>
        <w:t xml:space="preserve">                         </w:t>
      </w:r>
    </w:p>
    <w:p w14:paraId="702F8BDE">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投标人在中国的代表姓名和地址：（如有的话） </w:t>
      </w:r>
      <w:r>
        <w:rPr>
          <w:rFonts w:hint="eastAsia" w:ascii="仿宋" w:hAnsi="仿宋" w:cs="仿宋"/>
          <w:color w:val="000000" w:themeColor="text1"/>
          <w:highlight w:val="none"/>
          <w:u w:val="single"/>
          <w14:textFill>
            <w14:solidFill>
              <w14:schemeClr w14:val="tx1"/>
            </w14:solidFill>
          </w14:textFill>
        </w:rPr>
        <w:t xml:space="preserve">                   </w:t>
      </w:r>
    </w:p>
    <w:p w14:paraId="6797D173">
      <w:pPr>
        <w:pStyle w:val="116"/>
        <w:spacing w:before="120" w:line="360" w:lineRule="auto"/>
        <w:ind w:left="420" w:firstLine="0"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u w:val="single"/>
          <w14:textFill>
            <w14:solidFill>
              <w14:schemeClr w14:val="tx1"/>
            </w14:solidFill>
          </w14:textFill>
        </w:rPr>
        <w:t xml:space="preserve">                                   </w:t>
      </w:r>
    </w:p>
    <w:p w14:paraId="1836D4A4">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投标人简介（包括但不限于业务范围、注册资金、所有权状况、组织机构及职能、人员构成、公司的场地环境和软硬件设施等）：</w:t>
      </w:r>
    </w:p>
    <w:p w14:paraId="4D876620">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投标人在中国地区的分公司、办事处信息</w:t>
      </w:r>
    </w:p>
    <w:tbl>
      <w:tblPr>
        <w:tblStyle w:val="33"/>
        <w:tblW w:w="7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88"/>
        <w:gridCol w:w="2589"/>
        <w:gridCol w:w="1049"/>
        <w:gridCol w:w="1136"/>
        <w:gridCol w:w="1080"/>
      </w:tblGrid>
      <w:tr w14:paraId="6F97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vAlign w:val="center"/>
          </w:tcPr>
          <w:p w14:paraId="2AAA4DE7">
            <w:pPr>
              <w:ind w:right="-58"/>
              <w:jc w:val="center"/>
              <w:rPr>
                <w:rFonts w:ascii="仿宋" w:hAnsi="仿宋" w:cs="仿宋"/>
                <w:color w:val="000000" w:themeColor="text1"/>
                <w:spacing w:val="20"/>
                <w:highlight w:val="none"/>
                <w14:textFill>
                  <w14:solidFill>
                    <w14:schemeClr w14:val="tx1"/>
                  </w14:solidFill>
                </w14:textFill>
              </w:rPr>
            </w:pPr>
            <w:r>
              <w:rPr>
                <w:rFonts w:hint="eastAsia" w:ascii="仿宋" w:hAnsi="仿宋" w:cs="仿宋"/>
                <w:color w:val="000000" w:themeColor="text1"/>
                <w:spacing w:val="20"/>
                <w:highlight w:val="none"/>
                <w14:textFill>
                  <w14:solidFill>
                    <w14:schemeClr w14:val="tx1"/>
                  </w14:solidFill>
                </w14:textFill>
              </w:rPr>
              <w:t>序号</w:t>
            </w:r>
          </w:p>
        </w:tc>
        <w:tc>
          <w:tcPr>
            <w:tcW w:w="1088" w:type="dxa"/>
            <w:tcBorders>
              <w:top w:val="single" w:color="auto" w:sz="4" w:space="0"/>
              <w:left w:val="nil"/>
              <w:bottom w:val="single" w:color="auto" w:sz="4" w:space="0"/>
              <w:right w:val="single" w:color="auto" w:sz="4" w:space="0"/>
            </w:tcBorders>
            <w:vAlign w:val="center"/>
          </w:tcPr>
          <w:p w14:paraId="03AFD082">
            <w:pPr>
              <w:ind w:right="-58"/>
              <w:jc w:val="center"/>
              <w:rPr>
                <w:rFonts w:ascii="仿宋" w:hAnsi="仿宋" w:cs="仿宋"/>
                <w:color w:val="000000" w:themeColor="text1"/>
                <w:spacing w:val="20"/>
                <w:highlight w:val="none"/>
                <w14:textFill>
                  <w14:solidFill>
                    <w14:schemeClr w14:val="tx1"/>
                  </w14:solidFill>
                </w14:textFill>
              </w:rPr>
            </w:pPr>
            <w:r>
              <w:rPr>
                <w:rFonts w:hint="eastAsia" w:ascii="仿宋" w:hAnsi="仿宋" w:cs="仿宋"/>
                <w:color w:val="000000" w:themeColor="text1"/>
                <w:spacing w:val="20"/>
                <w:highlight w:val="none"/>
                <w14:textFill>
                  <w14:solidFill>
                    <w14:schemeClr w14:val="tx1"/>
                  </w14:solidFill>
                </w14:textFill>
              </w:rPr>
              <w:t>地区</w:t>
            </w:r>
          </w:p>
        </w:tc>
        <w:tc>
          <w:tcPr>
            <w:tcW w:w="2589" w:type="dxa"/>
            <w:tcBorders>
              <w:top w:val="single" w:color="auto" w:sz="4" w:space="0"/>
              <w:left w:val="nil"/>
              <w:bottom w:val="single" w:color="auto" w:sz="4" w:space="0"/>
              <w:right w:val="single" w:color="auto" w:sz="4" w:space="0"/>
            </w:tcBorders>
            <w:vAlign w:val="center"/>
          </w:tcPr>
          <w:p w14:paraId="47F696E0">
            <w:pPr>
              <w:ind w:right="-58"/>
              <w:jc w:val="center"/>
              <w:rPr>
                <w:rFonts w:ascii="仿宋" w:hAnsi="仿宋" w:cs="仿宋"/>
                <w:color w:val="000000" w:themeColor="text1"/>
                <w:spacing w:val="20"/>
                <w:highlight w:val="none"/>
                <w14:textFill>
                  <w14:solidFill>
                    <w14:schemeClr w14:val="tx1"/>
                  </w14:solidFill>
                </w14:textFill>
              </w:rPr>
            </w:pPr>
            <w:r>
              <w:rPr>
                <w:rFonts w:hint="eastAsia" w:ascii="仿宋" w:hAnsi="仿宋" w:cs="仿宋"/>
                <w:color w:val="000000" w:themeColor="text1"/>
                <w:spacing w:val="20"/>
                <w:highlight w:val="none"/>
                <w14:textFill>
                  <w14:solidFill>
                    <w14:schemeClr w14:val="tx1"/>
                  </w14:solidFill>
                </w14:textFill>
              </w:rPr>
              <w:t>分公司办事处地址联系电话</w:t>
            </w:r>
          </w:p>
        </w:tc>
        <w:tc>
          <w:tcPr>
            <w:tcW w:w="1049" w:type="dxa"/>
            <w:tcBorders>
              <w:top w:val="single" w:color="auto" w:sz="4" w:space="0"/>
              <w:left w:val="nil"/>
              <w:bottom w:val="single" w:color="auto" w:sz="4" w:space="0"/>
              <w:right w:val="single" w:color="auto" w:sz="4" w:space="0"/>
            </w:tcBorders>
            <w:vAlign w:val="center"/>
          </w:tcPr>
          <w:p w14:paraId="0B595092">
            <w:pPr>
              <w:ind w:right="-58"/>
              <w:jc w:val="center"/>
              <w:rPr>
                <w:rFonts w:ascii="仿宋" w:hAnsi="仿宋" w:cs="仿宋"/>
                <w:color w:val="000000" w:themeColor="text1"/>
                <w:spacing w:val="20"/>
                <w:highlight w:val="none"/>
                <w14:textFill>
                  <w14:solidFill>
                    <w14:schemeClr w14:val="tx1"/>
                  </w14:solidFill>
                </w14:textFill>
              </w:rPr>
            </w:pPr>
            <w:r>
              <w:rPr>
                <w:rFonts w:hint="eastAsia" w:ascii="仿宋" w:hAnsi="仿宋" w:cs="仿宋"/>
                <w:color w:val="000000" w:themeColor="text1"/>
                <w:spacing w:val="20"/>
                <w:highlight w:val="none"/>
                <w14:textFill>
                  <w14:solidFill>
                    <w14:schemeClr w14:val="tx1"/>
                  </w14:solidFill>
                </w14:textFill>
              </w:rPr>
              <w:t>负责人</w:t>
            </w:r>
          </w:p>
        </w:tc>
        <w:tc>
          <w:tcPr>
            <w:tcW w:w="1136" w:type="dxa"/>
            <w:tcBorders>
              <w:top w:val="single" w:color="auto" w:sz="4" w:space="0"/>
              <w:left w:val="nil"/>
              <w:bottom w:val="single" w:color="auto" w:sz="4" w:space="0"/>
              <w:right w:val="single" w:color="auto" w:sz="4" w:space="0"/>
            </w:tcBorders>
            <w:vAlign w:val="center"/>
          </w:tcPr>
          <w:p w14:paraId="1CFD2D51">
            <w:pPr>
              <w:ind w:right="-58"/>
              <w:jc w:val="center"/>
              <w:rPr>
                <w:rFonts w:ascii="仿宋" w:hAnsi="仿宋" w:cs="仿宋"/>
                <w:color w:val="000000" w:themeColor="text1"/>
                <w:spacing w:val="20"/>
                <w:highlight w:val="none"/>
                <w14:textFill>
                  <w14:solidFill>
                    <w14:schemeClr w14:val="tx1"/>
                  </w14:solidFill>
                </w14:textFill>
              </w:rPr>
            </w:pPr>
            <w:r>
              <w:rPr>
                <w:rFonts w:hint="eastAsia" w:ascii="仿宋" w:hAnsi="仿宋" w:cs="仿宋"/>
                <w:color w:val="000000" w:themeColor="text1"/>
                <w:spacing w:val="20"/>
                <w:highlight w:val="none"/>
                <w14:textFill>
                  <w14:solidFill>
                    <w14:schemeClr w14:val="tx1"/>
                  </w14:solidFill>
                </w14:textFill>
              </w:rPr>
              <w:t>技术人</w:t>
            </w:r>
          </w:p>
          <w:p w14:paraId="04BDFBBF">
            <w:pPr>
              <w:ind w:right="-58"/>
              <w:jc w:val="center"/>
              <w:rPr>
                <w:rFonts w:ascii="仿宋" w:hAnsi="仿宋" w:cs="仿宋"/>
                <w:color w:val="000000" w:themeColor="text1"/>
                <w:spacing w:val="20"/>
                <w:highlight w:val="none"/>
                <w14:textFill>
                  <w14:solidFill>
                    <w14:schemeClr w14:val="tx1"/>
                  </w14:solidFill>
                </w14:textFill>
              </w:rPr>
            </w:pPr>
            <w:r>
              <w:rPr>
                <w:rFonts w:hint="eastAsia" w:ascii="仿宋" w:hAnsi="仿宋" w:cs="仿宋"/>
                <w:color w:val="000000" w:themeColor="text1"/>
                <w:spacing w:val="20"/>
                <w:highlight w:val="none"/>
                <w14:textFill>
                  <w14:solidFill>
                    <w14:schemeClr w14:val="tx1"/>
                  </w14:solidFill>
                </w14:textFill>
              </w:rPr>
              <w:t>员数量</w:t>
            </w:r>
          </w:p>
        </w:tc>
        <w:tc>
          <w:tcPr>
            <w:tcW w:w="1080" w:type="dxa"/>
            <w:tcBorders>
              <w:top w:val="single" w:color="auto" w:sz="4" w:space="0"/>
              <w:left w:val="nil"/>
              <w:bottom w:val="single" w:color="auto" w:sz="4" w:space="0"/>
              <w:right w:val="single" w:color="auto" w:sz="4" w:space="0"/>
            </w:tcBorders>
            <w:vAlign w:val="center"/>
          </w:tcPr>
          <w:p w14:paraId="10C1C259">
            <w:pPr>
              <w:ind w:right="-58"/>
              <w:jc w:val="center"/>
              <w:rPr>
                <w:rFonts w:ascii="仿宋" w:hAnsi="仿宋" w:cs="仿宋"/>
                <w:color w:val="000000" w:themeColor="text1"/>
                <w:spacing w:val="20"/>
                <w:highlight w:val="none"/>
                <w14:textFill>
                  <w14:solidFill>
                    <w14:schemeClr w14:val="tx1"/>
                  </w14:solidFill>
                </w14:textFill>
              </w:rPr>
            </w:pPr>
            <w:r>
              <w:rPr>
                <w:rFonts w:hint="eastAsia" w:ascii="仿宋" w:hAnsi="仿宋" w:cs="仿宋"/>
                <w:color w:val="000000" w:themeColor="text1"/>
                <w:spacing w:val="20"/>
                <w:highlight w:val="none"/>
                <w14:textFill>
                  <w14:solidFill>
                    <w14:schemeClr w14:val="tx1"/>
                  </w14:solidFill>
                </w14:textFill>
              </w:rPr>
              <w:t>商务人</w:t>
            </w:r>
          </w:p>
          <w:p w14:paraId="278379C8">
            <w:pPr>
              <w:ind w:right="-58"/>
              <w:jc w:val="center"/>
              <w:rPr>
                <w:rFonts w:ascii="仿宋" w:hAnsi="仿宋" w:cs="仿宋"/>
                <w:color w:val="000000" w:themeColor="text1"/>
                <w:spacing w:val="20"/>
                <w:highlight w:val="none"/>
                <w14:textFill>
                  <w14:solidFill>
                    <w14:schemeClr w14:val="tx1"/>
                  </w14:solidFill>
                </w14:textFill>
              </w:rPr>
            </w:pPr>
            <w:r>
              <w:rPr>
                <w:rFonts w:hint="eastAsia" w:ascii="仿宋" w:hAnsi="仿宋" w:cs="仿宋"/>
                <w:color w:val="000000" w:themeColor="text1"/>
                <w:spacing w:val="20"/>
                <w:highlight w:val="none"/>
                <w14:textFill>
                  <w14:solidFill>
                    <w14:schemeClr w14:val="tx1"/>
                  </w14:solidFill>
                </w14:textFill>
              </w:rPr>
              <w:t>员数量</w:t>
            </w:r>
          </w:p>
        </w:tc>
      </w:tr>
      <w:tr w14:paraId="1F91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tcPr>
          <w:p w14:paraId="2781680C">
            <w:pPr>
              <w:ind w:right="-58"/>
              <w:jc w:val="center"/>
              <w:rPr>
                <w:rFonts w:ascii="仿宋" w:hAnsi="仿宋" w:cs="仿宋"/>
                <w:color w:val="000000" w:themeColor="text1"/>
                <w:spacing w:val="20"/>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tcPr>
          <w:p w14:paraId="4EB1EEB0">
            <w:pPr>
              <w:ind w:right="-58"/>
              <w:rPr>
                <w:rFonts w:ascii="仿宋" w:hAnsi="仿宋" w:cs="仿宋"/>
                <w:color w:val="000000" w:themeColor="text1"/>
                <w:spacing w:val="20"/>
                <w:highlight w:val="none"/>
                <w14:textFill>
                  <w14:solidFill>
                    <w14:schemeClr w14:val="tx1"/>
                  </w14:solidFill>
                </w14:textFill>
              </w:rPr>
            </w:pPr>
          </w:p>
        </w:tc>
        <w:tc>
          <w:tcPr>
            <w:tcW w:w="2589" w:type="dxa"/>
            <w:tcBorders>
              <w:top w:val="single" w:color="auto" w:sz="4" w:space="0"/>
              <w:left w:val="nil"/>
              <w:bottom w:val="single" w:color="auto" w:sz="4" w:space="0"/>
              <w:right w:val="single" w:color="auto" w:sz="4" w:space="0"/>
            </w:tcBorders>
          </w:tcPr>
          <w:p w14:paraId="12192454">
            <w:pPr>
              <w:ind w:right="-58"/>
              <w:rPr>
                <w:rFonts w:ascii="仿宋" w:hAnsi="仿宋" w:cs="仿宋"/>
                <w:color w:val="000000" w:themeColor="text1"/>
                <w:spacing w:val="20"/>
                <w:highlight w:val="none"/>
                <w14:textFill>
                  <w14:solidFill>
                    <w14:schemeClr w14:val="tx1"/>
                  </w14:solidFill>
                </w14:textFill>
              </w:rPr>
            </w:pPr>
          </w:p>
        </w:tc>
        <w:tc>
          <w:tcPr>
            <w:tcW w:w="1049" w:type="dxa"/>
            <w:tcBorders>
              <w:top w:val="single" w:color="auto" w:sz="4" w:space="0"/>
              <w:left w:val="nil"/>
              <w:bottom w:val="single" w:color="auto" w:sz="4" w:space="0"/>
              <w:right w:val="single" w:color="auto" w:sz="4" w:space="0"/>
            </w:tcBorders>
          </w:tcPr>
          <w:p w14:paraId="4DB0B649">
            <w:pPr>
              <w:ind w:right="-58"/>
              <w:rPr>
                <w:rFonts w:ascii="仿宋" w:hAnsi="仿宋" w:cs="仿宋"/>
                <w:color w:val="000000" w:themeColor="text1"/>
                <w:spacing w:val="20"/>
                <w:highlight w:val="none"/>
                <w14:textFill>
                  <w14:solidFill>
                    <w14:schemeClr w14:val="tx1"/>
                  </w14:solidFill>
                </w14:textFill>
              </w:rPr>
            </w:pPr>
          </w:p>
        </w:tc>
        <w:tc>
          <w:tcPr>
            <w:tcW w:w="1136" w:type="dxa"/>
            <w:tcBorders>
              <w:top w:val="single" w:color="auto" w:sz="4" w:space="0"/>
              <w:left w:val="nil"/>
              <w:bottom w:val="single" w:color="auto" w:sz="4" w:space="0"/>
              <w:right w:val="single" w:color="auto" w:sz="4" w:space="0"/>
            </w:tcBorders>
          </w:tcPr>
          <w:p w14:paraId="64666AAB">
            <w:pPr>
              <w:ind w:right="-58"/>
              <w:rPr>
                <w:rFonts w:ascii="仿宋" w:hAnsi="仿宋" w:cs="仿宋"/>
                <w:color w:val="000000" w:themeColor="text1"/>
                <w:spacing w:val="20"/>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tcPr>
          <w:p w14:paraId="3C785AFA">
            <w:pPr>
              <w:ind w:right="-58"/>
              <w:rPr>
                <w:rFonts w:ascii="仿宋" w:hAnsi="仿宋" w:cs="仿宋"/>
                <w:color w:val="000000" w:themeColor="text1"/>
                <w:spacing w:val="20"/>
                <w:highlight w:val="none"/>
                <w14:textFill>
                  <w14:solidFill>
                    <w14:schemeClr w14:val="tx1"/>
                  </w14:solidFill>
                </w14:textFill>
              </w:rPr>
            </w:pPr>
          </w:p>
        </w:tc>
      </w:tr>
      <w:tr w14:paraId="0B7B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tcPr>
          <w:p w14:paraId="5F019041">
            <w:pPr>
              <w:ind w:right="-58"/>
              <w:jc w:val="center"/>
              <w:rPr>
                <w:rFonts w:ascii="仿宋" w:hAnsi="仿宋" w:cs="仿宋"/>
                <w:color w:val="000000" w:themeColor="text1"/>
                <w:spacing w:val="20"/>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tcPr>
          <w:p w14:paraId="41571069">
            <w:pPr>
              <w:ind w:right="-58"/>
              <w:rPr>
                <w:rFonts w:ascii="仿宋" w:hAnsi="仿宋" w:cs="仿宋"/>
                <w:color w:val="000000" w:themeColor="text1"/>
                <w:spacing w:val="20"/>
                <w:highlight w:val="none"/>
                <w14:textFill>
                  <w14:solidFill>
                    <w14:schemeClr w14:val="tx1"/>
                  </w14:solidFill>
                </w14:textFill>
              </w:rPr>
            </w:pPr>
          </w:p>
        </w:tc>
        <w:tc>
          <w:tcPr>
            <w:tcW w:w="2589" w:type="dxa"/>
            <w:tcBorders>
              <w:top w:val="single" w:color="auto" w:sz="4" w:space="0"/>
              <w:left w:val="nil"/>
              <w:bottom w:val="single" w:color="auto" w:sz="4" w:space="0"/>
              <w:right w:val="single" w:color="auto" w:sz="4" w:space="0"/>
            </w:tcBorders>
          </w:tcPr>
          <w:p w14:paraId="3D153CFC">
            <w:pPr>
              <w:ind w:right="-58"/>
              <w:rPr>
                <w:rFonts w:ascii="仿宋" w:hAnsi="仿宋" w:cs="仿宋"/>
                <w:color w:val="000000" w:themeColor="text1"/>
                <w:spacing w:val="20"/>
                <w:highlight w:val="none"/>
                <w14:textFill>
                  <w14:solidFill>
                    <w14:schemeClr w14:val="tx1"/>
                  </w14:solidFill>
                </w14:textFill>
              </w:rPr>
            </w:pPr>
          </w:p>
        </w:tc>
        <w:tc>
          <w:tcPr>
            <w:tcW w:w="1049" w:type="dxa"/>
            <w:tcBorders>
              <w:top w:val="single" w:color="auto" w:sz="4" w:space="0"/>
              <w:left w:val="nil"/>
              <w:bottom w:val="single" w:color="auto" w:sz="4" w:space="0"/>
              <w:right w:val="single" w:color="auto" w:sz="4" w:space="0"/>
            </w:tcBorders>
          </w:tcPr>
          <w:p w14:paraId="1BD43072">
            <w:pPr>
              <w:ind w:right="-58"/>
              <w:rPr>
                <w:rFonts w:ascii="仿宋" w:hAnsi="仿宋" w:cs="仿宋"/>
                <w:color w:val="000000" w:themeColor="text1"/>
                <w:spacing w:val="20"/>
                <w:highlight w:val="none"/>
                <w14:textFill>
                  <w14:solidFill>
                    <w14:schemeClr w14:val="tx1"/>
                  </w14:solidFill>
                </w14:textFill>
              </w:rPr>
            </w:pPr>
          </w:p>
        </w:tc>
        <w:tc>
          <w:tcPr>
            <w:tcW w:w="1136" w:type="dxa"/>
            <w:tcBorders>
              <w:top w:val="single" w:color="auto" w:sz="4" w:space="0"/>
              <w:left w:val="nil"/>
              <w:bottom w:val="single" w:color="auto" w:sz="4" w:space="0"/>
              <w:right w:val="single" w:color="auto" w:sz="4" w:space="0"/>
            </w:tcBorders>
          </w:tcPr>
          <w:p w14:paraId="6F23FEE9">
            <w:pPr>
              <w:ind w:right="-58"/>
              <w:rPr>
                <w:rFonts w:ascii="仿宋" w:hAnsi="仿宋" w:cs="仿宋"/>
                <w:color w:val="000000" w:themeColor="text1"/>
                <w:spacing w:val="20"/>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tcPr>
          <w:p w14:paraId="309A38DF">
            <w:pPr>
              <w:ind w:right="-58"/>
              <w:rPr>
                <w:rFonts w:ascii="仿宋" w:hAnsi="仿宋" w:cs="仿宋"/>
                <w:color w:val="000000" w:themeColor="text1"/>
                <w:spacing w:val="20"/>
                <w:highlight w:val="none"/>
                <w14:textFill>
                  <w14:solidFill>
                    <w14:schemeClr w14:val="tx1"/>
                  </w14:solidFill>
                </w14:textFill>
              </w:rPr>
            </w:pPr>
          </w:p>
        </w:tc>
      </w:tr>
      <w:tr w14:paraId="7A15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tcPr>
          <w:p w14:paraId="242069F6">
            <w:pPr>
              <w:ind w:right="-58"/>
              <w:jc w:val="center"/>
              <w:rPr>
                <w:rFonts w:ascii="仿宋" w:hAnsi="仿宋" w:cs="仿宋"/>
                <w:color w:val="000000" w:themeColor="text1"/>
                <w:spacing w:val="20"/>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tcPr>
          <w:p w14:paraId="1CEDA764">
            <w:pPr>
              <w:ind w:right="-58"/>
              <w:rPr>
                <w:rFonts w:ascii="仿宋" w:hAnsi="仿宋" w:cs="仿宋"/>
                <w:color w:val="000000" w:themeColor="text1"/>
                <w:spacing w:val="20"/>
                <w:highlight w:val="none"/>
                <w14:textFill>
                  <w14:solidFill>
                    <w14:schemeClr w14:val="tx1"/>
                  </w14:solidFill>
                </w14:textFill>
              </w:rPr>
            </w:pPr>
          </w:p>
        </w:tc>
        <w:tc>
          <w:tcPr>
            <w:tcW w:w="2589" w:type="dxa"/>
            <w:tcBorders>
              <w:top w:val="single" w:color="auto" w:sz="4" w:space="0"/>
              <w:left w:val="nil"/>
              <w:bottom w:val="single" w:color="auto" w:sz="4" w:space="0"/>
              <w:right w:val="single" w:color="auto" w:sz="4" w:space="0"/>
            </w:tcBorders>
          </w:tcPr>
          <w:p w14:paraId="7DA09A72">
            <w:pPr>
              <w:ind w:right="-58"/>
              <w:rPr>
                <w:rFonts w:ascii="仿宋" w:hAnsi="仿宋" w:cs="仿宋"/>
                <w:color w:val="000000" w:themeColor="text1"/>
                <w:spacing w:val="20"/>
                <w:highlight w:val="none"/>
                <w14:textFill>
                  <w14:solidFill>
                    <w14:schemeClr w14:val="tx1"/>
                  </w14:solidFill>
                </w14:textFill>
              </w:rPr>
            </w:pPr>
          </w:p>
        </w:tc>
        <w:tc>
          <w:tcPr>
            <w:tcW w:w="1049" w:type="dxa"/>
            <w:tcBorders>
              <w:top w:val="single" w:color="auto" w:sz="4" w:space="0"/>
              <w:left w:val="nil"/>
              <w:bottom w:val="single" w:color="auto" w:sz="4" w:space="0"/>
              <w:right w:val="single" w:color="auto" w:sz="4" w:space="0"/>
            </w:tcBorders>
          </w:tcPr>
          <w:p w14:paraId="0C87D9B8">
            <w:pPr>
              <w:ind w:right="-58"/>
              <w:rPr>
                <w:rFonts w:ascii="仿宋" w:hAnsi="仿宋" w:cs="仿宋"/>
                <w:color w:val="000000" w:themeColor="text1"/>
                <w:spacing w:val="20"/>
                <w:highlight w:val="none"/>
                <w14:textFill>
                  <w14:solidFill>
                    <w14:schemeClr w14:val="tx1"/>
                  </w14:solidFill>
                </w14:textFill>
              </w:rPr>
            </w:pPr>
          </w:p>
        </w:tc>
        <w:tc>
          <w:tcPr>
            <w:tcW w:w="1136" w:type="dxa"/>
            <w:tcBorders>
              <w:top w:val="single" w:color="auto" w:sz="4" w:space="0"/>
              <w:left w:val="nil"/>
              <w:bottom w:val="single" w:color="auto" w:sz="4" w:space="0"/>
              <w:right w:val="single" w:color="auto" w:sz="4" w:space="0"/>
            </w:tcBorders>
          </w:tcPr>
          <w:p w14:paraId="1164F442">
            <w:pPr>
              <w:ind w:right="-58"/>
              <w:rPr>
                <w:rFonts w:ascii="仿宋" w:hAnsi="仿宋" w:cs="仿宋"/>
                <w:color w:val="000000" w:themeColor="text1"/>
                <w:spacing w:val="20"/>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tcPr>
          <w:p w14:paraId="60C9B26D">
            <w:pPr>
              <w:ind w:right="-58"/>
              <w:rPr>
                <w:rFonts w:ascii="仿宋" w:hAnsi="仿宋" w:cs="仿宋"/>
                <w:color w:val="000000" w:themeColor="text1"/>
                <w:spacing w:val="20"/>
                <w:highlight w:val="none"/>
                <w14:textFill>
                  <w14:solidFill>
                    <w14:schemeClr w14:val="tx1"/>
                  </w14:solidFill>
                </w14:textFill>
              </w:rPr>
            </w:pPr>
          </w:p>
        </w:tc>
      </w:tr>
      <w:tr w14:paraId="225B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tcPr>
          <w:p w14:paraId="1957C683">
            <w:pPr>
              <w:ind w:right="-58"/>
              <w:jc w:val="center"/>
              <w:rPr>
                <w:rFonts w:ascii="仿宋" w:hAnsi="仿宋" w:cs="仿宋"/>
                <w:color w:val="000000" w:themeColor="text1"/>
                <w:spacing w:val="20"/>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tcPr>
          <w:p w14:paraId="00A7AA68">
            <w:pPr>
              <w:ind w:right="-58"/>
              <w:rPr>
                <w:rFonts w:ascii="仿宋" w:hAnsi="仿宋" w:cs="仿宋"/>
                <w:color w:val="000000" w:themeColor="text1"/>
                <w:spacing w:val="20"/>
                <w:highlight w:val="none"/>
                <w14:textFill>
                  <w14:solidFill>
                    <w14:schemeClr w14:val="tx1"/>
                  </w14:solidFill>
                </w14:textFill>
              </w:rPr>
            </w:pPr>
          </w:p>
        </w:tc>
        <w:tc>
          <w:tcPr>
            <w:tcW w:w="2589" w:type="dxa"/>
            <w:tcBorders>
              <w:top w:val="single" w:color="auto" w:sz="4" w:space="0"/>
              <w:left w:val="nil"/>
              <w:bottom w:val="single" w:color="auto" w:sz="4" w:space="0"/>
              <w:right w:val="single" w:color="auto" w:sz="4" w:space="0"/>
            </w:tcBorders>
          </w:tcPr>
          <w:p w14:paraId="3242D2E8">
            <w:pPr>
              <w:ind w:right="-58"/>
              <w:rPr>
                <w:rFonts w:ascii="仿宋" w:hAnsi="仿宋" w:cs="仿宋"/>
                <w:color w:val="000000" w:themeColor="text1"/>
                <w:spacing w:val="20"/>
                <w:highlight w:val="none"/>
                <w14:textFill>
                  <w14:solidFill>
                    <w14:schemeClr w14:val="tx1"/>
                  </w14:solidFill>
                </w14:textFill>
              </w:rPr>
            </w:pPr>
          </w:p>
        </w:tc>
        <w:tc>
          <w:tcPr>
            <w:tcW w:w="1049" w:type="dxa"/>
            <w:tcBorders>
              <w:top w:val="single" w:color="auto" w:sz="4" w:space="0"/>
              <w:left w:val="nil"/>
              <w:bottom w:val="single" w:color="auto" w:sz="4" w:space="0"/>
              <w:right w:val="single" w:color="auto" w:sz="4" w:space="0"/>
            </w:tcBorders>
          </w:tcPr>
          <w:p w14:paraId="3E5365D5">
            <w:pPr>
              <w:ind w:right="-58"/>
              <w:rPr>
                <w:rFonts w:ascii="仿宋" w:hAnsi="仿宋" w:cs="仿宋"/>
                <w:color w:val="000000" w:themeColor="text1"/>
                <w:spacing w:val="20"/>
                <w:highlight w:val="none"/>
                <w14:textFill>
                  <w14:solidFill>
                    <w14:schemeClr w14:val="tx1"/>
                  </w14:solidFill>
                </w14:textFill>
              </w:rPr>
            </w:pPr>
          </w:p>
        </w:tc>
        <w:tc>
          <w:tcPr>
            <w:tcW w:w="1136" w:type="dxa"/>
            <w:tcBorders>
              <w:top w:val="single" w:color="auto" w:sz="4" w:space="0"/>
              <w:left w:val="nil"/>
              <w:bottom w:val="single" w:color="auto" w:sz="4" w:space="0"/>
              <w:right w:val="single" w:color="auto" w:sz="4" w:space="0"/>
            </w:tcBorders>
          </w:tcPr>
          <w:p w14:paraId="66205ADA">
            <w:pPr>
              <w:ind w:right="-58"/>
              <w:rPr>
                <w:rFonts w:ascii="仿宋" w:hAnsi="仿宋" w:cs="仿宋"/>
                <w:color w:val="000000" w:themeColor="text1"/>
                <w:spacing w:val="20"/>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tcPr>
          <w:p w14:paraId="0DE0B970">
            <w:pPr>
              <w:ind w:right="-58"/>
              <w:rPr>
                <w:rFonts w:ascii="仿宋" w:hAnsi="仿宋" w:cs="仿宋"/>
                <w:color w:val="000000" w:themeColor="text1"/>
                <w:spacing w:val="20"/>
                <w:highlight w:val="none"/>
                <w14:textFill>
                  <w14:solidFill>
                    <w14:schemeClr w14:val="tx1"/>
                  </w14:solidFill>
                </w14:textFill>
              </w:rPr>
            </w:pPr>
          </w:p>
        </w:tc>
      </w:tr>
    </w:tbl>
    <w:p w14:paraId="79DE778E">
      <w:pPr>
        <w:pStyle w:val="116"/>
        <w:spacing w:before="120" w:line="360" w:lineRule="auto"/>
        <w:ind w:firstLine="0" w:firstLineChars="0"/>
        <w:rPr>
          <w:rFonts w:ascii="仿宋" w:hAnsi="仿宋" w:cs="仿宋"/>
          <w:color w:val="000000" w:themeColor="text1"/>
          <w:highlight w:val="none"/>
          <w14:textFill>
            <w14:solidFill>
              <w14:schemeClr w14:val="tx1"/>
            </w14:solidFill>
          </w14:textFill>
        </w:rPr>
      </w:pPr>
    </w:p>
    <w:p w14:paraId="4E22F899">
      <w:pPr>
        <w:pStyle w:val="116"/>
        <w:numPr>
          <w:ilvl w:val="0"/>
          <w:numId w:val="66"/>
        </w:numPr>
        <w:spacing w:before="120"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研发能力及人员配备：</w:t>
      </w:r>
      <w:r>
        <w:rPr>
          <w:rFonts w:hint="eastAsia" w:ascii="仿宋" w:hAnsi="仿宋" w:cs="仿宋"/>
          <w:color w:val="000000" w:themeColor="text1"/>
          <w:highlight w:val="none"/>
          <w:u w:val="single"/>
          <w14:textFill>
            <w14:solidFill>
              <w14:schemeClr w14:val="tx1"/>
            </w14:solidFill>
          </w14:textFill>
        </w:rPr>
        <w:t xml:space="preserve">                                                        </w:t>
      </w:r>
    </w:p>
    <w:p w14:paraId="0109101F">
      <w:pPr>
        <w:spacing w:line="360" w:lineRule="auto"/>
        <w:ind w:left="907"/>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p>
    <w:p w14:paraId="05732013">
      <w:pPr>
        <w:numPr>
          <w:ilvl w:val="0"/>
          <w:numId w:val="65"/>
        </w:numPr>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近3年重大违法违规记录或涉及环境保护、劳动用工、消费者权益保护等方面的重大违法违规行为情况</w:t>
      </w:r>
    </w:p>
    <w:p w14:paraId="5FF1988F">
      <w:pPr>
        <w:tabs>
          <w:tab w:val="left" w:pos="425"/>
        </w:tabs>
        <w:spacing w:line="360" w:lineRule="auto"/>
        <w:ind w:firstLine="600" w:firstLineChars="25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重大违法违规，是指供应商因违法经营受到刑事处罚或者责令停产停业、吊销许可证或者执照、人民币200万元以上（含）的罚款等行政处罚。</w:t>
      </w:r>
    </w:p>
    <w:tbl>
      <w:tblPr>
        <w:tblStyle w:val="33"/>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66"/>
        <w:gridCol w:w="2502"/>
        <w:gridCol w:w="2378"/>
      </w:tblGrid>
      <w:tr w14:paraId="7400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tcPr>
          <w:p w14:paraId="7487B490">
            <w:pPr>
              <w:jc w:val="center"/>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年份</w:t>
            </w:r>
          </w:p>
        </w:tc>
        <w:tc>
          <w:tcPr>
            <w:tcW w:w="2566" w:type="dxa"/>
            <w:tcBorders>
              <w:top w:val="single" w:color="auto" w:sz="4" w:space="0"/>
              <w:left w:val="nil"/>
              <w:bottom w:val="single" w:color="auto" w:sz="4" w:space="0"/>
              <w:right w:val="single" w:color="auto" w:sz="4" w:space="0"/>
            </w:tcBorders>
          </w:tcPr>
          <w:p w14:paraId="6CED12BE">
            <w:pPr>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重大违法违规情况（如果有）</w:t>
            </w:r>
          </w:p>
        </w:tc>
        <w:tc>
          <w:tcPr>
            <w:tcW w:w="2502" w:type="dxa"/>
            <w:tcBorders>
              <w:top w:val="single" w:color="auto" w:sz="4" w:space="0"/>
              <w:left w:val="nil"/>
              <w:bottom w:val="single" w:color="auto" w:sz="4" w:space="0"/>
              <w:right w:val="single" w:color="auto" w:sz="4" w:space="0"/>
            </w:tcBorders>
          </w:tcPr>
          <w:p w14:paraId="72E34373">
            <w:pPr>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刑事处罚或行政处罚内容</w:t>
            </w:r>
          </w:p>
        </w:tc>
        <w:tc>
          <w:tcPr>
            <w:tcW w:w="2378" w:type="dxa"/>
            <w:tcBorders>
              <w:top w:val="single" w:color="auto" w:sz="4" w:space="0"/>
              <w:left w:val="nil"/>
              <w:bottom w:val="single" w:color="auto" w:sz="4" w:space="0"/>
              <w:right w:val="single" w:color="auto" w:sz="4" w:space="0"/>
            </w:tcBorders>
          </w:tcPr>
          <w:p w14:paraId="16D0486E">
            <w:pPr>
              <w:jc w:val="center"/>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罚款金额（如有）</w:t>
            </w:r>
          </w:p>
        </w:tc>
      </w:tr>
      <w:tr w14:paraId="4397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Borders>
              <w:top w:val="single" w:color="auto" w:sz="4" w:space="0"/>
              <w:left w:val="single" w:color="auto" w:sz="4" w:space="0"/>
              <w:bottom w:val="single" w:color="auto" w:sz="4" w:space="0"/>
              <w:right w:val="single" w:color="auto" w:sz="4" w:space="0"/>
            </w:tcBorders>
          </w:tcPr>
          <w:p w14:paraId="72DD2360">
            <w:pPr>
              <w:rPr>
                <w:rFonts w:ascii="仿宋" w:hAnsi="仿宋" w:cs="仿宋"/>
                <w:color w:val="000000" w:themeColor="text1"/>
                <w:szCs w:val="24"/>
                <w:highlight w:val="none"/>
                <w14:textFill>
                  <w14:solidFill>
                    <w14:schemeClr w14:val="tx1"/>
                  </w14:solidFill>
                </w14:textFill>
              </w:rPr>
            </w:pPr>
          </w:p>
          <w:p w14:paraId="528F2FED">
            <w:pPr>
              <w:rPr>
                <w:rFonts w:ascii="仿宋" w:hAnsi="仿宋" w:cs="仿宋"/>
                <w:color w:val="000000" w:themeColor="text1"/>
                <w:szCs w:val="24"/>
                <w:highlight w:val="none"/>
                <w14:textFill>
                  <w14:solidFill>
                    <w14:schemeClr w14:val="tx1"/>
                  </w14:solidFill>
                </w14:textFill>
              </w:rPr>
            </w:pPr>
          </w:p>
        </w:tc>
        <w:tc>
          <w:tcPr>
            <w:tcW w:w="2566" w:type="dxa"/>
            <w:tcBorders>
              <w:top w:val="single" w:color="auto" w:sz="4" w:space="0"/>
              <w:left w:val="nil"/>
              <w:bottom w:val="single" w:color="auto" w:sz="4" w:space="0"/>
              <w:right w:val="single" w:color="auto" w:sz="4" w:space="0"/>
            </w:tcBorders>
          </w:tcPr>
          <w:p w14:paraId="44204888">
            <w:pPr>
              <w:rPr>
                <w:rFonts w:ascii="仿宋" w:hAnsi="仿宋" w:cs="仿宋"/>
                <w:color w:val="000000" w:themeColor="text1"/>
                <w:szCs w:val="24"/>
                <w:highlight w:val="none"/>
                <w14:textFill>
                  <w14:solidFill>
                    <w14:schemeClr w14:val="tx1"/>
                  </w14:solidFill>
                </w14:textFill>
              </w:rPr>
            </w:pPr>
          </w:p>
        </w:tc>
        <w:tc>
          <w:tcPr>
            <w:tcW w:w="2502" w:type="dxa"/>
            <w:tcBorders>
              <w:top w:val="single" w:color="auto" w:sz="4" w:space="0"/>
              <w:left w:val="nil"/>
              <w:bottom w:val="single" w:color="auto" w:sz="4" w:space="0"/>
              <w:right w:val="single" w:color="auto" w:sz="4" w:space="0"/>
            </w:tcBorders>
          </w:tcPr>
          <w:p w14:paraId="74CA3D15">
            <w:pPr>
              <w:rPr>
                <w:rFonts w:ascii="仿宋" w:hAnsi="仿宋" w:cs="仿宋"/>
                <w:color w:val="000000" w:themeColor="text1"/>
                <w:szCs w:val="24"/>
                <w:highlight w:val="none"/>
                <w14:textFill>
                  <w14:solidFill>
                    <w14:schemeClr w14:val="tx1"/>
                  </w14:solidFill>
                </w14:textFill>
              </w:rPr>
            </w:pPr>
          </w:p>
        </w:tc>
        <w:tc>
          <w:tcPr>
            <w:tcW w:w="2378" w:type="dxa"/>
            <w:tcBorders>
              <w:top w:val="single" w:color="auto" w:sz="4" w:space="0"/>
              <w:left w:val="nil"/>
              <w:bottom w:val="single" w:color="auto" w:sz="4" w:space="0"/>
              <w:right w:val="single" w:color="auto" w:sz="4" w:space="0"/>
            </w:tcBorders>
          </w:tcPr>
          <w:p w14:paraId="4A41F105">
            <w:pPr>
              <w:rPr>
                <w:rFonts w:ascii="仿宋" w:hAnsi="仿宋" w:cs="仿宋"/>
                <w:color w:val="000000" w:themeColor="text1"/>
                <w:szCs w:val="24"/>
                <w:highlight w:val="none"/>
                <w14:textFill>
                  <w14:solidFill>
                    <w14:schemeClr w14:val="tx1"/>
                  </w14:solidFill>
                </w14:textFill>
              </w:rPr>
            </w:pPr>
          </w:p>
        </w:tc>
      </w:tr>
      <w:tr w14:paraId="2604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tcBorders>
              <w:top w:val="single" w:color="auto" w:sz="4" w:space="0"/>
              <w:left w:val="single" w:color="auto" w:sz="4" w:space="0"/>
              <w:bottom w:val="single" w:color="auto" w:sz="4" w:space="0"/>
              <w:right w:val="single" w:color="auto" w:sz="4" w:space="0"/>
            </w:tcBorders>
          </w:tcPr>
          <w:p w14:paraId="722597A4">
            <w:pPr>
              <w:jc w:val="center"/>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年份</w:t>
            </w:r>
          </w:p>
        </w:tc>
        <w:tc>
          <w:tcPr>
            <w:tcW w:w="2566" w:type="dxa"/>
            <w:tcBorders>
              <w:top w:val="single" w:color="auto" w:sz="4" w:space="0"/>
              <w:left w:val="nil"/>
              <w:bottom w:val="single" w:color="auto" w:sz="4" w:space="0"/>
              <w:right w:val="single" w:color="auto" w:sz="4" w:space="0"/>
            </w:tcBorders>
          </w:tcPr>
          <w:p w14:paraId="67EF4E33">
            <w:pPr>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重大违法违规情况（如果有）</w:t>
            </w:r>
          </w:p>
        </w:tc>
        <w:tc>
          <w:tcPr>
            <w:tcW w:w="2502" w:type="dxa"/>
            <w:tcBorders>
              <w:top w:val="single" w:color="auto" w:sz="4" w:space="0"/>
              <w:left w:val="nil"/>
              <w:bottom w:val="single" w:color="auto" w:sz="4" w:space="0"/>
              <w:right w:val="single" w:color="auto" w:sz="4" w:space="0"/>
            </w:tcBorders>
          </w:tcPr>
          <w:p w14:paraId="2C78057C">
            <w:pPr>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刑事处罚或行政处罚内容</w:t>
            </w:r>
          </w:p>
        </w:tc>
        <w:tc>
          <w:tcPr>
            <w:tcW w:w="2378" w:type="dxa"/>
            <w:tcBorders>
              <w:top w:val="single" w:color="auto" w:sz="4" w:space="0"/>
              <w:left w:val="nil"/>
              <w:bottom w:val="single" w:color="auto" w:sz="4" w:space="0"/>
              <w:right w:val="single" w:color="auto" w:sz="4" w:space="0"/>
            </w:tcBorders>
          </w:tcPr>
          <w:p w14:paraId="5A4998D9">
            <w:pPr>
              <w:jc w:val="center"/>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罚款金额（如有）</w:t>
            </w:r>
          </w:p>
        </w:tc>
      </w:tr>
      <w:tr w14:paraId="763B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Borders>
              <w:top w:val="single" w:color="auto" w:sz="4" w:space="0"/>
              <w:left w:val="single" w:color="auto" w:sz="4" w:space="0"/>
              <w:bottom w:val="single" w:color="auto" w:sz="4" w:space="0"/>
              <w:right w:val="single" w:color="auto" w:sz="4" w:space="0"/>
            </w:tcBorders>
          </w:tcPr>
          <w:p w14:paraId="24539693">
            <w:pPr>
              <w:rPr>
                <w:rFonts w:ascii="仿宋" w:hAnsi="仿宋" w:cs="仿宋"/>
                <w:color w:val="000000" w:themeColor="text1"/>
                <w:szCs w:val="24"/>
                <w:highlight w:val="none"/>
                <w14:textFill>
                  <w14:solidFill>
                    <w14:schemeClr w14:val="tx1"/>
                  </w14:solidFill>
                </w14:textFill>
              </w:rPr>
            </w:pPr>
          </w:p>
        </w:tc>
        <w:tc>
          <w:tcPr>
            <w:tcW w:w="2566" w:type="dxa"/>
            <w:tcBorders>
              <w:top w:val="single" w:color="auto" w:sz="4" w:space="0"/>
              <w:left w:val="nil"/>
              <w:bottom w:val="single" w:color="auto" w:sz="4" w:space="0"/>
              <w:right w:val="single" w:color="auto" w:sz="4" w:space="0"/>
            </w:tcBorders>
          </w:tcPr>
          <w:p w14:paraId="6651C654">
            <w:pPr>
              <w:rPr>
                <w:rFonts w:ascii="仿宋" w:hAnsi="仿宋" w:cs="仿宋"/>
                <w:color w:val="000000" w:themeColor="text1"/>
                <w:szCs w:val="24"/>
                <w:highlight w:val="none"/>
                <w14:textFill>
                  <w14:solidFill>
                    <w14:schemeClr w14:val="tx1"/>
                  </w14:solidFill>
                </w14:textFill>
              </w:rPr>
            </w:pPr>
          </w:p>
        </w:tc>
        <w:tc>
          <w:tcPr>
            <w:tcW w:w="2502" w:type="dxa"/>
            <w:tcBorders>
              <w:top w:val="single" w:color="auto" w:sz="4" w:space="0"/>
              <w:left w:val="nil"/>
              <w:bottom w:val="single" w:color="auto" w:sz="4" w:space="0"/>
              <w:right w:val="single" w:color="auto" w:sz="4" w:space="0"/>
            </w:tcBorders>
          </w:tcPr>
          <w:p w14:paraId="68B11299">
            <w:pPr>
              <w:rPr>
                <w:rFonts w:ascii="仿宋" w:hAnsi="仿宋" w:cs="仿宋"/>
                <w:color w:val="000000" w:themeColor="text1"/>
                <w:szCs w:val="24"/>
                <w:highlight w:val="none"/>
                <w14:textFill>
                  <w14:solidFill>
                    <w14:schemeClr w14:val="tx1"/>
                  </w14:solidFill>
                </w14:textFill>
              </w:rPr>
            </w:pPr>
          </w:p>
        </w:tc>
        <w:tc>
          <w:tcPr>
            <w:tcW w:w="2378" w:type="dxa"/>
            <w:tcBorders>
              <w:top w:val="single" w:color="auto" w:sz="4" w:space="0"/>
              <w:left w:val="nil"/>
              <w:bottom w:val="single" w:color="auto" w:sz="4" w:space="0"/>
              <w:right w:val="single" w:color="auto" w:sz="4" w:space="0"/>
            </w:tcBorders>
          </w:tcPr>
          <w:p w14:paraId="68FDA036">
            <w:pPr>
              <w:rPr>
                <w:rFonts w:ascii="仿宋" w:hAnsi="仿宋" w:cs="仿宋"/>
                <w:color w:val="000000" w:themeColor="text1"/>
                <w:szCs w:val="24"/>
                <w:highlight w:val="none"/>
                <w14:textFill>
                  <w14:solidFill>
                    <w14:schemeClr w14:val="tx1"/>
                  </w14:solidFill>
                </w14:textFill>
              </w:rPr>
            </w:pPr>
          </w:p>
        </w:tc>
      </w:tr>
    </w:tbl>
    <w:p w14:paraId="53198A0C">
      <w:pPr>
        <w:pStyle w:val="32"/>
        <w:ind w:left="480" w:firstLine="480"/>
        <w:rPr>
          <w:rFonts w:ascii="仿宋" w:hAnsi="仿宋"/>
          <w:color w:val="000000" w:themeColor="text1"/>
          <w:sz w:val="24"/>
          <w:szCs w:val="24"/>
          <w:highlight w:val="none"/>
          <w14:textFill>
            <w14:solidFill>
              <w14:schemeClr w14:val="tx1"/>
            </w14:solidFill>
          </w14:textFill>
        </w:rPr>
      </w:pPr>
    </w:p>
    <w:p w14:paraId="1C44AA13">
      <w:pPr>
        <w:numPr>
          <w:ilvl w:val="0"/>
          <w:numId w:val="65"/>
        </w:numPr>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有关开户银行的名称和地址：</w:t>
      </w:r>
      <w:r>
        <w:rPr>
          <w:rFonts w:hint="eastAsia" w:ascii="仿宋" w:hAnsi="仿宋" w:cs="仿宋"/>
          <w:color w:val="000000" w:themeColor="text1"/>
          <w:szCs w:val="24"/>
          <w:highlight w:val="none"/>
          <w:u w:val="single"/>
          <w14:textFill>
            <w14:solidFill>
              <w14:schemeClr w14:val="tx1"/>
            </w14:solidFill>
          </w14:textFill>
        </w:rPr>
        <w:t xml:space="preserve">                                        </w:t>
      </w:r>
    </w:p>
    <w:p w14:paraId="41F58B17">
      <w:pPr>
        <w:numPr>
          <w:ilvl w:val="0"/>
          <w:numId w:val="65"/>
        </w:numPr>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投标人所属的集团公司，如有的话：</w:t>
      </w:r>
      <w:r>
        <w:rPr>
          <w:rFonts w:hint="eastAsia" w:ascii="仿宋" w:hAnsi="仿宋" w:cs="仿宋"/>
          <w:color w:val="000000" w:themeColor="text1"/>
          <w:szCs w:val="24"/>
          <w:highlight w:val="none"/>
          <w:u w:val="single"/>
          <w14:textFill>
            <w14:solidFill>
              <w14:schemeClr w14:val="tx1"/>
            </w14:solidFill>
          </w14:textFill>
        </w:rPr>
        <w:t xml:space="preserve">                                   </w:t>
      </w:r>
    </w:p>
    <w:p w14:paraId="2C83A661">
      <w:pPr>
        <w:numPr>
          <w:ilvl w:val="0"/>
          <w:numId w:val="65"/>
        </w:numPr>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其他情况：</w:t>
      </w:r>
      <w:r>
        <w:rPr>
          <w:rFonts w:hint="eastAsia" w:ascii="仿宋" w:hAnsi="仿宋" w:cs="仿宋"/>
          <w:color w:val="000000" w:themeColor="text1"/>
          <w:szCs w:val="24"/>
          <w:highlight w:val="none"/>
          <w:u w:val="single"/>
          <w14:textFill>
            <w14:solidFill>
              <w14:schemeClr w14:val="tx1"/>
            </w14:solidFill>
          </w14:textFill>
        </w:rPr>
        <w:t xml:space="preserve">                                                       </w:t>
      </w:r>
    </w:p>
    <w:p w14:paraId="4BF9154E">
      <w:pPr>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 xml:space="preserve"> </w:t>
      </w:r>
    </w:p>
    <w:p w14:paraId="66A9A077">
      <w:pPr>
        <w:spacing w:line="360" w:lineRule="auto"/>
        <w:ind w:firstLine="480" w:firstLineChars="20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兹证明上述声明是真实、正确的，并提供了全部能提供的资料和数据，我们同意遵照贵方要求出示有关证明文件。</w:t>
      </w:r>
    </w:p>
    <w:p w14:paraId="70068B32">
      <w:pPr>
        <w:spacing w:before="1200"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投标人名称（盖章）</w:t>
      </w:r>
      <w:r>
        <w:rPr>
          <w:rFonts w:hint="eastAsia" w:ascii="仿宋" w:hAnsi="仿宋" w:cs="仿宋"/>
          <w:color w:val="000000" w:themeColor="text1"/>
          <w:szCs w:val="24"/>
          <w:highlight w:val="none"/>
          <w:u w:val="single"/>
          <w14:textFill>
            <w14:solidFill>
              <w14:schemeClr w14:val="tx1"/>
            </w14:solidFill>
          </w14:textFill>
        </w:rPr>
        <w:t xml:space="preserve">                                 </w:t>
      </w:r>
    </w:p>
    <w:p w14:paraId="0727DDBB">
      <w:pPr>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签字人姓名和职务</w:t>
      </w:r>
      <w:r>
        <w:rPr>
          <w:rFonts w:hint="eastAsia" w:ascii="仿宋" w:hAnsi="仿宋" w:cs="仿宋"/>
          <w:color w:val="000000" w:themeColor="text1"/>
          <w:szCs w:val="24"/>
          <w:highlight w:val="none"/>
          <w:u w:val="single"/>
          <w14:textFill>
            <w14:solidFill>
              <w14:schemeClr w14:val="tx1"/>
            </w14:solidFill>
          </w14:textFill>
        </w:rPr>
        <w:t xml:space="preserve">                                   </w:t>
      </w:r>
    </w:p>
    <w:p w14:paraId="229F7F1F">
      <w:pPr>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签字人签字</w:t>
      </w:r>
      <w:r>
        <w:rPr>
          <w:rFonts w:hint="eastAsia" w:ascii="仿宋" w:hAnsi="仿宋" w:cs="仿宋"/>
          <w:color w:val="000000" w:themeColor="text1"/>
          <w:szCs w:val="24"/>
          <w:highlight w:val="none"/>
          <w:u w:val="single"/>
          <w14:textFill>
            <w14:solidFill>
              <w14:schemeClr w14:val="tx1"/>
            </w14:solidFill>
          </w14:textFill>
        </w:rPr>
        <w:t xml:space="preserve">                                         </w:t>
      </w:r>
    </w:p>
    <w:p w14:paraId="2ACF10C9">
      <w:pPr>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签字日期</w:t>
      </w:r>
      <w:r>
        <w:rPr>
          <w:rFonts w:hint="eastAsia" w:ascii="仿宋" w:hAnsi="仿宋" w:cs="仿宋"/>
          <w:color w:val="000000" w:themeColor="text1"/>
          <w:szCs w:val="24"/>
          <w:highlight w:val="none"/>
          <w:u w:val="single"/>
          <w14:textFill>
            <w14:solidFill>
              <w14:schemeClr w14:val="tx1"/>
            </w14:solidFill>
          </w14:textFill>
        </w:rPr>
        <w:t xml:space="preserve">                                           </w:t>
      </w:r>
    </w:p>
    <w:p w14:paraId="198725D2">
      <w:pPr>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电话</w:t>
      </w:r>
      <w:r>
        <w:rPr>
          <w:rFonts w:hint="eastAsia" w:ascii="仿宋" w:hAnsi="仿宋" w:cs="仿宋"/>
          <w:color w:val="000000" w:themeColor="text1"/>
          <w:szCs w:val="24"/>
          <w:highlight w:val="none"/>
          <w:u w:val="single"/>
          <w14:textFill>
            <w14:solidFill>
              <w14:schemeClr w14:val="tx1"/>
            </w14:solidFill>
          </w14:textFill>
        </w:rPr>
        <w:t xml:space="preserve">                                               </w:t>
      </w:r>
    </w:p>
    <w:p w14:paraId="5CD767C5">
      <w:pPr>
        <w:spacing w:line="360" w:lineRule="auto"/>
        <w:rPr>
          <w:rFonts w:ascii="仿宋" w:hAnsi="仿宋" w:cs="仿宋"/>
          <w:color w:val="000000" w:themeColor="text1"/>
          <w:szCs w:val="24"/>
          <w:highlight w:val="none"/>
          <w:u w:val="singl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4"/>
          <w:highlight w:val="none"/>
          <w14:textFill>
            <w14:solidFill>
              <w14:schemeClr w14:val="tx1"/>
            </w14:solidFill>
          </w14:textFill>
        </w:rPr>
        <w:t>电子函件</w:t>
      </w:r>
      <w:r>
        <w:rPr>
          <w:rFonts w:hint="eastAsia" w:ascii="仿宋" w:hAnsi="仿宋" w:cs="仿宋"/>
          <w:color w:val="000000" w:themeColor="text1"/>
          <w:szCs w:val="24"/>
          <w:highlight w:val="none"/>
          <w:u w:val="single"/>
          <w14:textFill>
            <w14:solidFill>
              <w14:schemeClr w14:val="tx1"/>
            </w14:solidFill>
          </w14:textFill>
        </w:rPr>
        <w:t xml:space="preserve">                                           </w:t>
      </w:r>
    </w:p>
    <w:p w14:paraId="6E1B6BC0">
      <w:pPr>
        <w:spacing w:line="360" w:lineRule="auto"/>
        <w:outlineLvl w:val="1"/>
        <w:rPr>
          <w:rFonts w:ascii="仿宋" w:hAnsi="仿宋" w:cs="仿宋"/>
          <w:b/>
          <w:bCs/>
          <w:color w:val="000000" w:themeColor="text1"/>
          <w:highlight w:val="none"/>
          <w14:textFill>
            <w14:solidFill>
              <w14:schemeClr w14:val="tx1"/>
            </w14:solidFill>
          </w14:textFill>
        </w:rPr>
      </w:pPr>
      <w:bookmarkStart w:id="431" w:name="_Toc12735"/>
      <w:bookmarkStart w:id="432" w:name="_Toc149230431"/>
      <w:bookmarkStart w:id="433" w:name="_Toc150933651"/>
      <w:r>
        <w:rPr>
          <w:rFonts w:hint="eastAsia" w:ascii="仿宋" w:hAnsi="仿宋" w:cs="仿宋"/>
          <w:b/>
          <w:bCs/>
          <w:color w:val="000000" w:themeColor="text1"/>
          <w:highlight w:val="none"/>
          <w14:textFill>
            <w14:solidFill>
              <w14:schemeClr w14:val="tx1"/>
            </w14:solidFill>
          </w14:textFill>
        </w:rPr>
        <w:t>附件6-3 制造商资格声明【如适用】</w:t>
      </w:r>
      <w:bookmarkEnd w:id="431"/>
      <w:bookmarkEnd w:id="432"/>
      <w:bookmarkEnd w:id="433"/>
    </w:p>
    <w:p w14:paraId="4BB461B3">
      <w:pPr>
        <w:widowControl/>
        <w:jc w:val="left"/>
        <w:rPr>
          <w:rFonts w:ascii="仿宋" w:hAnsi="仿宋" w:cs="仿宋"/>
          <w:bCs/>
          <w:color w:val="000000" w:themeColor="text1"/>
          <w:sz w:val="18"/>
          <w:highlight w:val="none"/>
          <w14:textFill>
            <w14:solidFill>
              <w14:schemeClr w14:val="tx1"/>
            </w14:solidFill>
          </w14:textFill>
        </w:rPr>
      </w:pPr>
    </w:p>
    <w:p w14:paraId="0A243713">
      <w:pPr>
        <w:widowControl/>
        <w:numPr>
          <w:ilvl w:val="0"/>
          <w:numId w:val="67"/>
        </w:numPr>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名称及概况：</w:t>
      </w:r>
    </w:p>
    <w:p w14:paraId="4D254659">
      <w:pPr>
        <w:numPr>
          <w:ilvl w:val="0"/>
          <w:numId w:val="68"/>
        </w:numPr>
        <w:tabs>
          <w:tab w:val="left" w:pos="5580"/>
        </w:tabs>
        <w:spacing w:line="360" w:lineRule="auto"/>
        <w:ind w:firstLine="36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制造商名称：</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2B06F52A">
      <w:pPr>
        <w:numPr>
          <w:ilvl w:val="0"/>
          <w:numId w:val="68"/>
        </w:numPr>
        <w:tabs>
          <w:tab w:val="left" w:pos="5580"/>
        </w:tabs>
        <w:spacing w:line="360" w:lineRule="auto"/>
        <w:ind w:firstLine="36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地址及邮编：</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29897BEC">
      <w:pPr>
        <w:numPr>
          <w:ilvl w:val="0"/>
          <w:numId w:val="68"/>
        </w:numPr>
        <w:tabs>
          <w:tab w:val="left" w:pos="5580"/>
        </w:tabs>
        <w:spacing w:line="360" w:lineRule="auto"/>
        <w:ind w:firstLine="36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成立和注册日期：</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0DBAF016">
      <w:pPr>
        <w:numPr>
          <w:ilvl w:val="0"/>
          <w:numId w:val="68"/>
        </w:numPr>
        <w:tabs>
          <w:tab w:val="left" w:pos="5580"/>
        </w:tabs>
        <w:spacing w:line="360" w:lineRule="auto"/>
        <w:ind w:firstLine="36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主管部门：</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6963CC76">
      <w:pPr>
        <w:numPr>
          <w:ilvl w:val="0"/>
          <w:numId w:val="68"/>
        </w:numPr>
        <w:tabs>
          <w:tab w:val="left" w:pos="5580"/>
        </w:tabs>
        <w:spacing w:line="360" w:lineRule="auto"/>
        <w:ind w:firstLine="36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企业性质：</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5A161324">
      <w:pPr>
        <w:numPr>
          <w:ilvl w:val="0"/>
          <w:numId w:val="68"/>
        </w:numPr>
        <w:tabs>
          <w:tab w:val="left" w:pos="5580"/>
        </w:tabs>
        <w:spacing w:line="360" w:lineRule="auto"/>
        <w:ind w:firstLine="36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法人代表：</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15B473A4">
      <w:pPr>
        <w:numPr>
          <w:ilvl w:val="0"/>
          <w:numId w:val="68"/>
        </w:numPr>
        <w:tabs>
          <w:tab w:val="left" w:pos="5580"/>
        </w:tabs>
        <w:spacing w:line="360" w:lineRule="auto"/>
        <w:ind w:firstLine="36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职员人数：</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1B4874C8">
      <w:pPr>
        <w:tabs>
          <w:tab w:val="left" w:pos="5580"/>
        </w:tabs>
        <w:spacing w:line="360" w:lineRule="auto"/>
        <w:ind w:left="960"/>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一般工人：</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19B85C71">
      <w:pPr>
        <w:tabs>
          <w:tab w:val="left" w:pos="5580"/>
        </w:tabs>
        <w:spacing w:line="360" w:lineRule="auto"/>
        <w:ind w:left="96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技术人员：</w:t>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r>
        <w:rPr>
          <w:rFonts w:hint="eastAsia" w:ascii="仿宋" w:hAnsi="仿宋" w:cs="仿宋"/>
          <w:color w:val="000000" w:themeColor="text1"/>
          <w:highlight w:val="none"/>
          <w:u w:val="single"/>
          <w14:textFill>
            <w14:solidFill>
              <w14:schemeClr w14:val="tx1"/>
            </w14:solidFill>
          </w14:textFill>
        </w:rPr>
        <w:tab/>
      </w:r>
    </w:p>
    <w:p w14:paraId="776DC475">
      <w:pPr>
        <w:widowControl/>
        <w:numPr>
          <w:ilvl w:val="0"/>
          <w:numId w:val="67"/>
        </w:numPr>
        <w:jc w:val="left"/>
        <w:rPr>
          <w:rFonts w:ascii="仿宋" w:hAnsi="仿宋" w:cs="仿宋"/>
          <w:color w:val="000000" w:themeColor="text1"/>
          <w:highlight w:val="none"/>
          <w14:textFill>
            <w14:solidFill>
              <w14:schemeClr w14:val="tx1"/>
            </w14:solidFill>
          </w14:textFill>
        </w:rPr>
      </w:pPr>
    </w:p>
    <w:p w14:paraId="6EF58E23">
      <w:pPr>
        <w:numPr>
          <w:ilvl w:val="0"/>
          <w:numId w:val="69"/>
        </w:numPr>
        <w:tabs>
          <w:tab w:val="left" w:pos="5580"/>
        </w:tabs>
        <w:spacing w:line="360" w:lineRule="auto"/>
        <w:ind w:firstLine="36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关于制造所报货物及服务的设施及其它情况：</w:t>
      </w:r>
    </w:p>
    <w:p w14:paraId="71FDB67A">
      <w:pPr>
        <w:tabs>
          <w:tab w:val="left" w:pos="5580"/>
        </w:tabs>
        <w:spacing w:line="360" w:lineRule="auto"/>
        <w:ind w:firstLine="454"/>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工厂名称地址　　  生产的项目　　　年生产能力　     　职工人数</w:t>
      </w:r>
    </w:p>
    <w:p w14:paraId="594BC3EB">
      <w:pPr>
        <w:tabs>
          <w:tab w:val="left" w:pos="5580"/>
        </w:tabs>
        <w:spacing w:line="360" w:lineRule="auto"/>
        <w:ind w:firstLine="454"/>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______________ 　_____________　   ____________　  　_______</w:t>
      </w:r>
    </w:p>
    <w:p w14:paraId="1BFD4F7D">
      <w:pPr>
        <w:tabs>
          <w:tab w:val="left" w:pos="5580"/>
        </w:tabs>
        <w:spacing w:line="360" w:lineRule="auto"/>
        <w:ind w:firstLine="454"/>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______________ 　_____________   　____________　 　 _______</w:t>
      </w:r>
    </w:p>
    <w:p w14:paraId="15894ABD">
      <w:pPr>
        <w:numPr>
          <w:ilvl w:val="0"/>
          <w:numId w:val="69"/>
        </w:numPr>
        <w:tabs>
          <w:tab w:val="left" w:pos="5580"/>
        </w:tabs>
        <w:spacing w:line="360" w:lineRule="auto"/>
        <w:ind w:firstLine="36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本制造厂不生产，而须从其它制造厂购买的主要零部件</w:t>
      </w:r>
    </w:p>
    <w:p w14:paraId="27AC73C6">
      <w:pPr>
        <w:tabs>
          <w:tab w:val="left" w:pos="5580"/>
        </w:tabs>
        <w:spacing w:line="360" w:lineRule="auto"/>
        <w:ind w:firstLine="96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生产厂家名称和地址：</w:t>
      </w:r>
      <w:r>
        <w:rPr>
          <w:rFonts w:hint="eastAsia" w:ascii="仿宋" w:hAnsi="仿宋" w:cs="仿宋"/>
          <w:color w:val="000000" w:themeColor="text1"/>
          <w:highlight w:val="none"/>
          <w:u w:val="single"/>
          <w14:textFill>
            <w14:solidFill>
              <w14:schemeClr w14:val="tx1"/>
            </w14:solidFill>
          </w14:textFill>
        </w:rPr>
        <w:t>　　　　　　　　</w:t>
      </w:r>
    </w:p>
    <w:p w14:paraId="22C191C6">
      <w:pPr>
        <w:tabs>
          <w:tab w:val="left" w:pos="5580"/>
        </w:tabs>
        <w:spacing w:line="360" w:lineRule="auto"/>
        <w:ind w:firstLine="96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主要零部件名称____________________　　　____________________</w:t>
      </w:r>
    </w:p>
    <w:p w14:paraId="2439F0DA">
      <w:pPr>
        <w:tabs>
          <w:tab w:val="left" w:pos="5580"/>
        </w:tabs>
        <w:spacing w:line="360" w:lineRule="auto"/>
        <w:ind w:firstLine="2613" w:firstLineChars="1089"/>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____________________　　　____________________</w:t>
      </w:r>
    </w:p>
    <w:p w14:paraId="414B2217">
      <w:pPr>
        <w:widowControl/>
        <w:numPr>
          <w:ilvl w:val="0"/>
          <w:numId w:val="67"/>
        </w:numPr>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易损件供应商的名称和地址：</w:t>
      </w:r>
    </w:p>
    <w:p w14:paraId="2560DE1A">
      <w:pPr>
        <w:tabs>
          <w:tab w:val="left" w:pos="5580"/>
        </w:tabs>
        <w:spacing w:line="360" w:lineRule="auto"/>
        <w:ind w:left="454" w:firstLine="454"/>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部件名称                         供应商</w:t>
      </w:r>
    </w:p>
    <w:p w14:paraId="49198BE7">
      <w:pPr>
        <w:tabs>
          <w:tab w:val="left" w:pos="5580"/>
        </w:tabs>
        <w:spacing w:line="360" w:lineRule="auto"/>
        <w:ind w:firstLine="454"/>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__________________              ______________</w:t>
      </w:r>
    </w:p>
    <w:p w14:paraId="15B3C768">
      <w:pPr>
        <w:tabs>
          <w:tab w:val="left" w:pos="5580"/>
        </w:tabs>
        <w:spacing w:line="360" w:lineRule="auto"/>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__________________              ______________</w:t>
      </w:r>
    </w:p>
    <w:p w14:paraId="3287F9B7">
      <w:pPr>
        <w:widowControl/>
        <w:numPr>
          <w:ilvl w:val="0"/>
          <w:numId w:val="67"/>
        </w:numPr>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其他情况：_______________________________________________</w:t>
      </w:r>
    </w:p>
    <w:p w14:paraId="272D183F">
      <w:pPr>
        <w:tabs>
          <w:tab w:val="left" w:pos="5580"/>
        </w:tabs>
        <w:spacing w:line="360" w:lineRule="auto"/>
        <w:ind w:firstLine="454"/>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兹证明上述声明是真实、正确的，并提供了全部能提供的资料和数据，我们同意遵照贵方要求出示有关证明文件。</w:t>
      </w:r>
    </w:p>
    <w:p w14:paraId="63BA7565">
      <w:pPr>
        <w:tabs>
          <w:tab w:val="left" w:pos="5580"/>
        </w:tabs>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制造商名称：_________________</w:t>
      </w:r>
    </w:p>
    <w:p w14:paraId="4763C0C8">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制造商（盖章）：____________________________　　</w:t>
      </w:r>
    </w:p>
    <w:p w14:paraId="71AB8A16">
      <w:pPr>
        <w:spacing w:line="360" w:lineRule="auto"/>
        <w:outlineLvl w:val="1"/>
        <w:rPr>
          <w:rFonts w:ascii="仿宋" w:hAnsi="仿宋" w:cs="仿宋"/>
          <w:b/>
          <w:bCs/>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br w:type="page"/>
      </w:r>
      <w:bookmarkStart w:id="434" w:name="_Toc149230432"/>
      <w:bookmarkStart w:id="435" w:name="_Toc15462"/>
      <w:bookmarkStart w:id="436" w:name="_Toc150933652"/>
      <w:r>
        <w:rPr>
          <w:rFonts w:hint="eastAsia" w:ascii="仿宋" w:hAnsi="仿宋" w:cs="仿宋"/>
          <w:b/>
          <w:bCs/>
          <w:color w:val="000000" w:themeColor="text1"/>
          <w:highlight w:val="none"/>
          <w14:textFill>
            <w14:solidFill>
              <w14:schemeClr w14:val="tx1"/>
            </w14:solidFill>
          </w14:textFill>
        </w:rPr>
        <w:t>附件6-4 投标人业绩案例</w:t>
      </w:r>
      <w:bookmarkEnd w:id="434"/>
      <w:bookmarkEnd w:id="435"/>
      <w:bookmarkEnd w:id="436"/>
    </w:p>
    <w:p w14:paraId="38211D26">
      <w:pPr>
        <w:pStyle w:val="32"/>
        <w:ind w:left="480" w:firstLine="640"/>
        <w:rPr>
          <w:rFonts w:ascii="仿宋" w:hAnsi="仿宋"/>
          <w:color w:val="000000" w:themeColor="text1"/>
          <w:highlight w:val="none"/>
          <w14:textFill>
            <w14:solidFill>
              <w14:schemeClr w14:val="tx1"/>
            </w14:solidFill>
          </w14:textFill>
        </w:rPr>
      </w:pPr>
    </w:p>
    <w:tbl>
      <w:tblPr>
        <w:tblStyle w:val="33"/>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093"/>
        <w:gridCol w:w="1133"/>
        <w:gridCol w:w="1133"/>
        <w:gridCol w:w="849"/>
        <w:gridCol w:w="1019"/>
        <w:gridCol w:w="1019"/>
        <w:gridCol w:w="891"/>
        <w:gridCol w:w="774"/>
      </w:tblGrid>
      <w:tr w14:paraId="4780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81" w:type="dxa"/>
            <w:tcBorders>
              <w:top w:val="single" w:color="auto" w:sz="4" w:space="0"/>
              <w:left w:val="single" w:color="auto" w:sz="4" w:space="0"/>
              <w:bottom w:val="single" w:color="auto" w:sz="4" w:space="0"/>
              <w:right w:val="single" w:color="auto" w:sz="4" w:space="0"/>
            </w:tcBorders>
            <w:vAlign w:val="center"/>
          </w:tcPr>
          <w:p w14:paraId="2D5FD5EA">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序号</w:t>
            </w:r>
          </w:p>
        </w:tc>
        <w:tc>
          <w:tcPr>
            <w:tcW w:w="1093" w:type="dxa"/>
            <w:tcBorders>
              <w:top w:val="single" w:color="auto" w:sz="4" w:space="0"/>
              <w:left w:val="single" w:color="auto" w:sz="4" w:space="0"/>
              <w:bottom w:val="single" w:color="auto" w:sz="4" w:space="0"/>
              <w:right w:val="single" w:color="auto" w:sz="4" w:space="0"/>
            </w:tcBorders>
            <w:vAlign w:val="center"/>
          </w:tcPr>
          <w:p w14:paraId="142F4CA0">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合同签订</w:t>
            </w:r>
          </w:p>
          <w:p w14:paraId="735DCD12">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时间</w:t>
            </w:r>
          </w:p>
        </w:tc>
        <w:tc>
          <w:tcPr>
            <w:tcW w:w="1133" w:type="dxa"/>
            <w:tcBorders>
              <w:top w:val="single" w:color="auto" w:sz="4" w:space="0"/>
              <w:left w:val="single" w:color="auto" w:sz="4" w:space="0"/>
              <w:bottom w:val="single" w:color="auto" w:sz="4" w:space="0"/>
              <w:right w:val="single" w:color="auto" w:sz="4" w:space="0"/>
            </w:tcBorders>
            <w:vAlign w:val="center"/>
          </w:tcPr>
          <w:p w14:paraId="06E3F1C8">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项目名称</w:t>
            </w:r>
          </w:p>
        </w:tc>
        <w:tc>
          <w:tcPr>
            <w:tcW w:w="1133" w:type="dxa"/>
            <w:tcBorders>
              <w:top w:val="single" w:color="auto" w:sz="4" w:space="0"/>
              <w:left w:val="single" w:color="auto" w:sz="4" w:space="0"/>
              <w:bottom w:val="single" w:color="auto" w:sz="4" w:space="0"/>
              <w:right w:val="single" w:color="auto" w:sz="4" w:space="0"/>
            </w:tcBorders>
            <w:vAlign w:val="center"/>
          </w:tcPr>
          <w:p w14:paraId="01F0AF60">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货物/服务名称</w:t>
            </w:r>
          </w:p>
        </w:tc>
        <w:tc>
          <w:tcPr>
            <w:tcW w:w="849" w:type="dxa"/>
            <w:tcBorders>
              <w:top w:val="single" w:color="auto" w:sz="4" w:space="0"/>
              <w:left w:val="single" w:color="auto" w:sz="4" w:space="0"/>
              <w:bottom w:val="single" w:color="auto" w:sz="4" w:space="0"/>
              <w:right w:val="single" w:color="auto" w:sz="4" w:space="0"/>
            </w:tcBorders>
            <w:vAlign w:val="center"/>
          </w:tcPr>
          <w:p w14:paraId="6B3CA7B0">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品牌/</w:t>
            </w:r>
          </w:p>
          <w:p w14:paraId="30D6546F">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型号</w:t>
            </w:r>
          </w:p>
        </w:tc>
        <w:tc>
          <w:tcPr>
            <w:tcW w:w="1019" w:type="dxa"/>
            <w:tcBorders>
              <w:top w:val="single" w:color="auto" w:sz="4" w:space="0"/>
              <w:left w:val="single" w:color="auto" w:sz="4" w:space="0"/>
              <w:bottom w:val="single" w:color="auto" w:sz="4" w:space="0"/>
              <w:right w:val="single" w:color="auto" w:sz="4" w:space="0"/>
            </w:tcBorders>
            <w:vAlign w:val="center"/>
          </w:tcPr>
          <w:p w14:paraId="46BA0972">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数量</w:t>
            </w:r>
          </w:p>
        </w:tc>
        <w:tc>
          <w:tcPr>
            <w:tcW w:w="1019" w:type="dxa"/>
            <w:tcBorders>
              <w:top w:val="single" w:color="auto" w:sz="4" w:space="0"/>
              <w:left w:val="single" w:color="auto" w:sz="4" w:space="0"/>
              <w:bottom w:val="single" w:color="auto" w:sz="4" w:space="0"/>
              <w:right w:val="single" w:color="auto" w:sz="4" w:space="0"/>
            </w:tcBorders>
            <w:vAlign w:val="center"/>
          </w:tcPr>
          <w:p w14:paraId="4F57A18A">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甲方单位名称</w:t>
            </w:r>
          </w:p>
        </w:tc>
        <w:tc>
          <w:tcPr>
            <w:tcW w:w="891" w:type="dxa"/>
            <w:tcBorders>
              <w:top w:val="single" w:color="auto" w:sz="4" w:space="0"/>
              <w:left w:val="single" w:color="auto" w:sz="4" w:space="0"/>
              <w:bottom w:val="single" w:color="auto" w:sz="4" w:space="0"/>
              <w:right w:val="single" w:color="auto" w:sz="4" w:space="0"/>
            </w:tcBorders>
            <w:vAlign w:val="center"/>
          </w:tcPr>
          <w:p w14:paraId="43523EA6">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联系人</w:t>
            </w:r>
          </w:p>
        </w:tc>
        <w:tc>
          <w:tcPr>
            <w:tcW w:w="774" w:type="dxa"/>
            <w:tcBorders>
              <w:top w:val="single" w:color="auto" w:sz="4" w:space="0"/>
              <w:left w:val="single" w:color="auto" w:sz="4" w:space="0"/>
              <w:bottom w:val="single" w:color="auto" w:sz="4" w:space="0"/>
              <w:right w:val="single" w:color="auto" w:sz="4" w:space="0"/>
            </w:tcBorders>
            <w:vAlign w:val="center"/>
          </w:tcPr>
          <w:p w14:paraId="14FEC880">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联系</w:t>
            </w:r>
          </w:p>
          <w:p w14:paraId="3E74F99A">
            <w:pPr>
              <w:pStyle w:val="15"/>
              <w:jc w:val="center"/>
              <w:rPr>
                <w:rFonts w:ascii="仿宋" w:hAnsi="仿宋" w:cs="仿宋"/>
                <w:b/>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电话</w:t>
            </w:r>
          </w:p>
        </w:tc>
      </w:tr>
      <w:tr w14:paraId="39C5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3D984DDC">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w:t>
            </w:r>
          </w:p>
        </w:tc>
        <w:tc>
          <w:tcPr>
            <w:tcW w:w="1093" w:type="dxa"/>
            <w:tcBorders>
              <w:top w:val="single" w:color="auto" w:sz="4" w:space="0"/>
              <w:left w:val="single" w:color="auto" w:sz="4" w:space="0"/>
              <w:bottom w:val="single" w:color="auto" w:sz="4" w:space="0"/>
              <w:right w:val="single" w:color="auto" w:sz="4" w:space="0"/>
            </w:tcBorders>
            <w:vAlign w:val="center"/>
          </w:tcPr>
          <w:p w14:paraId="0F913C51">
            <w:pPr>
              <w:jc w:val="center"/>
              <w:rPr>
                <w:rFonts w:ascii="仿宋" w:hAnsi="仿宋" w:cs="仿宋"/>
                <w:color w:val="000000" w:themeColor="text1"/>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2DD53C6D">
            <w:pPr>
              <w:jc w:val="center"/>
              <w:rPr>
                <w:rFonts w:ascii="仿宋" w:hAnsi="仿宋" w:cs="仿宋"/>
                <w:color w:val="000000" w:themeColor="text1"/>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vAlign w:val="center"/>
          </w:tcPr>
          <w:p w14:paraId="19BA7A87">
            <w:pPr>
              <w:jc w:val="center"/>
              <w:rPr>
                <w:rFonts w:ascii="仿宋" w:hAnsi="仿宋" w:cs="仿宋"/>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vAlign w:val="center"/>
          </w:tcPr>
          <w:p w14:paraId="7B0CCFF6">
            <w:pPr>
              <w:jc w:val="center"/>
              <w:rPr>
                <w:rFonts w:ascii="仿宋" w:hAnsi="仿宋" w:cs="仿宋"/>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vAlign w:val="center"/>
          </w:tcPr>
          <w:p w14:paraId="03F665D5">
            <w:pPr>
              <w:jc w:val="center"/>
              <w:rPr>
                <w:rFonts w:ascii="仿宋" w:hAnsi="仿宋" w:cs="仿宋"/>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vAlign w:val="center"/>
          </w:tcPr>
          <w:p w14:paraId="661FEE51">
            <w:pPr>
              <w:jc w:val="center"/>
              <w:rPr>
                <w:rFonts w:ascii="仿宋" w:hAnsi="仿宋" w:cs="仿宋"/>
                <w:color w:val="000000" w:themeColor="text1"/>
                <w:highlight w:val="none"/>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auto" w:sz="4" w:space="0"/>
            </w:tcBorders>
            <w:vAlign w:val="center"/>
          </w:tcPr>
          <w:p w14:paraId="761D0F0F">
            <w:pPr>
              <w:jc w:val="center"/>
              <w:rPr>
                <w:rFonts w:ascii="仿宋" w:hAnsi="仿宋" w:cs="仿宋"/>
                <w:color w:val="000000" w:themeColor="text1"/>
                <w:highlight w:val="none"/>
                <w14:textFill>
                  <w14:solidFill>
                    <w14:schemeClr w14:val="tx1"/>
                  </w14:solidFill>
                </w14:textFill>
              </w:rPr>
            </w:pPr>
          </w:p>
        </w:tc>
        <w:tc>
          <w:tcPr>
            <w:tcW w:w="774" w:type="dxa"/>
            <w:tcBorders>
              <w:top w:val="single" w:color="auto" w:sz="4" w:space="0"/>
              <w:left w:val="single" w:color="auto" w:sz="4" w:space="0"/>
              <w:bottom w:val="single" w:color="auto" w:sz="4" w:space="0"/>
              <w:right w:val="single" w:color="auto" w:sz="4" w:space="0"/>
            </w:tcBorders>
            <w:vAlign w:val="center"/>
          </w:tcPr>
          <w:p w14:paraId="68CBECF8">
            <w:pPr>
              <w:jc w:val="center"/>
              <w:rPr>
                <w:rFonts w:ascii="仿宋" w:hAnsi="仿宋" w:cs="仿宋"/>
                <w:color w:val="000000" w:themeColor="text1"/>
                <w:highlight w:val="none"/>
                <w14:textFill>
                  <w14:solidFill>
                    <w14:schemeClr w14:val="tx1"/>
                  </w14:solidFill>
                </w14:textFill>
              </w:rPr>
            </w:pPr>
          </w:p>
        </w:tc>
      </w:tr>
      <w:tr w14:paraId="636F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390775BD">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w:t>
            </w:r>
          </w:p>
        </w:tc>
        <w:tc>
          <w:tcPr>
            <w:tcW w:w="1093" w:type="dxa"/>
            <w:tcBorders>
              <w:top w:val="single" w:color="auto" w:sz="4" w:space="0"/>
              <w:left w:val="single" w:color="auto" w:sz="4" w:space="0"/>
              <w:bottom w:val="single" w:color="auto" w:sz="4" w:space="0"/>
              <w:right w:val="single" w:color="auto" w:sz="4" w:space="0"/>
            </w:tcBorders>
            <w:vAlign w:val="center"/>
          </w:tcPr>
          <w:p w14:paraId="723C1FDE">
            <w:pPr>
              <w:jc w:val="center"/>
              <w:rPr>
                <w:rFonts w:ascii="仿宋" w:hAnsi="仿宋" w:cs="仿宋"/>
                <w:color w:val="000000" w:themeColor="text1"/>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1FDAB74D">
            <w:pPr>
              <w:jc w:val="center"/>
              <w:rPr>
                <w:rFonts w:ascii="仿宋" w:hAnsi="仿宋" w:cs="仿宋"/>
                <w:color w:val="000000" w:themeColor="text1"/>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vAlign w:val="center"/>
          </w:tcPr>
          <w:p w14:paraId="7D80986A">
            <w:pPr>
              <w:jc w:val="center"/>
              <w:rPr>
                <w:rFonts w:ascii="仿宋" w:hAnsi="仿宋" w:cs="仿宋"/>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vAlign w:val="center"/>
          </w:tcPr>
          <w:p w14:paraId="5C8D5733">
            <w:pPr>
              <w:jc w:val="center"/>
              <w:rPr>
                <w:rFonts w:ascii="仿宋" w:hAnsi="仿宋" w:cs="仿宋"/>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vAlign w:val="center"/>
          </w:tcPr>
          <w:p w14:paraId="71547625">
            <w:pPr>
              <w:jc w:val="center"/>
              <w:rPr>
                <w:rFonts w:ascii="仿宋" w:hAnsi="仿宋" w:cs="仿宋"/>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vAlign w:val="center"/>
          </w:tcPr>
          <w:p w14:paraId="3A3B12D0">
            <w:pPr>
              <w:jc w:val="center"/>
              <w:rPr>
                <w:rFonts w:ascii="仿宋" w:hAnsi="仿宋" w:cs="仿宋"/>
                <w:color w:val="000000" w:themeColor="text1"/>
                <w:highlight w:val="none"/>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auto" w:sz="4" w:space="0"/>
            </w:tcBorders>
            <w:vAlign w:val="center"/>
          </w:tcPr>
          <w:p w14:paraId="368E21CD">
            <w:pPr>
              <w:jc w:val="center"/>
              <w:rPr>
                <w:rFonts w:ascii="仿宋" w:hAnsi="仿宋" w:cs="仿宋"/>
                <w:color w:val="000000" w:themeColor="text1"/>
                <w:highlight w:val="none"/>
                <w14:textFill>
                  <w14:solidFill>
                    <w14:schemeClr w14:val="tx1"/>
                  </w14:solidFill>
                </w14:textFill>
              </w:rPr>
            </w:pPr>
          </w:p>
        </w:tc>
        <w:tc>
          <w:tcPr>
            <w:tcW w:w="774" w:type="dxa"/>
            <w:tcBorders>
              <w:top w:val="single" w:color="auto" w:sz="4" w:space="0"/>
              <w:left w:val="single" w:color="auto" w:sz="4" w:space="0"/>
              <w:bottom w:val="single" w:color="auto" w:sz="4" w:space="0"/>
              <w:right w:val="single" w:color="auto" w:sz="4" w:space="0"/>
            </w:tcBorders>
            <w:vAlign w:val="center"/>
          </w:tcPr>
          <w:p w14:paraId="1DF9EAD6">
            <w:pPr>
              <w:jc w:val="center"/>
              <w:rPr>
                <w:rFonts w:ascii="仿宋" w:hAnsi="仿宋" w:cs="仿宋"/>
                <w:color w:val="000000" w:themeColor="text1"/>
                <w:highlight w:val="none"/>
                <w14:textFill>
                  <w14:solidFill>
                    <w14:schemeClr w14:val="tx1"/>
                  </w14:solidFill>
                </w14:textFill>
              </w:rPr>
            </w:pPr>
          </w:p>
        </w:tc>
      </w:tr>
      <w:tr w14:paraId="0560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358B041E">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3</w:t>
            </w:r>
          </w:p>
        </w:tc>
        <w:tc>
          <w:tcPr>
            <w:tcW w:w="1093" w:type="dxa"/>
            <w:tcBorders>
              <w:top w:val="single" w:color="auto" w:sz="4" w:space="0"/>
              <w:left w:val="single" w:color="auto" w:sz="4" w:space="0"/>
              <w:bottom w:val="single" w:color="auto" w:sz="4" w:space="0"/>
              <w:right w:val="single" w:color="auto" w:sz="4" w:space="0"/>
            </w:tcBorders>
            <w:vAlign w:val="center"/>
          </w:tcPr>
          <w:p w14:paraId="2D0E2758">
            <w:pPr>
              <w:jc w:val="center"/>
              <w:rPr>
                <w:rFonts w:ascii="仿宋" w:hAnsi="仿宋" w:cs="仿宋"/>
                <w:color w:val="000000" w:themeColor="text1"/>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6DC977F7">
            <w:pPr>
              <w:jc w:val="center"/>
              <w:rPr>
                <w:rFonts w:ascii="仿宋" w:hAnsi="仿宋" w:cs="仿宋"/>
                <w:color w:val="000000" w:themeColor="text1"/>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vAlign w:val="center"/>
          </w:tcPr>
          <w:p w14:paraId="1257F6B7">
            <w:pPr>
              <w:jc w:val="center"/>
              <w:rPr>
                <w:rFonts w:ascii="仿宋" w:hAnsi="仿宋" w:cs="仿宋"/>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vAlign w:val="center"/>
          </w:tcPr>
          <w:p w14:paraId="305F0D76">
            <w:pPr>
              <w:jc w:val="center"/>
              <w:rPr>
                <w:rFonts w:ascii="仿宋" w:hAnsi="仿宋" w:cs="仿宋"/>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vAlign w:val="center"/>
          </w:tcPr>
          <w:p w14:paraId="02C3FC3B">
            <w:pPr>
              <w:jc w:val="center"/>
              <w:rPr>
                <w:rFonts w:ascii="仿宋" w:hAnsi="仿宋" w:cs="仿宋"/>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vAlign w:val="center"/>
          </w:tcPr>
          <w:p w14:paraId="6D3EC93C">
            <w:pPr>
              <w:jc w:val="center"/>
              <w:rPr>
                <w:rFonts w:ascii="仿宋" w:hAnsi="仿宋" w:cs="仿宋"/>
                <w:color w:val="000000" w:themeColor="text1"/>
                <w:highlight w:val="none"/>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auto" w:sz="4" w:space="0"/>
            </w:tcBorders>
            <w:vAlign w:val="center"/>
          </w:tcPr>
          <w:p w14:paraId="24309EDB">
            <w:pPr>
              <w:jc w:val="center"/>
              <w:rPr>
                <w:rFonts w:ascii="仿宋" w:hAnsi="仿宋" w:cs="仿宋"/>
                <w:color w:val="000000" w:themeColor="text1"/>
                <w:highlight w:val="none"/>
                <w14:textFill>
                  <w14:solidFill>
                    <w14:schemeClr w14:val="tx1"/>
                  </w14:solidFill>
                </w14:textFill>
              </w:rPr>
            </w:pPr>
          </w:p>
        </w:tc>
        <w:tc>
          <w:tcPr>
            <w:tcW w:w="774" w:type="dxa"/>
            <w:tcBorders>
              <w:top w:val="single" w:color="auto" w:sz="4" w:space="0"/>
              <w:left w:val="single" w:color="auto" w:sz="4" w:space="0"/>
              <w:bottom w:val="single" w:color="auto" w:sz="4" w:space="0"/>
              <w:right w:val="single" w:color="auto" w:sz="4" w:space="0"/>
            </w:tcBorders>
            <w:vAlign w:val="center"/>
          </w:tcPr>
          <w:p w14:paraId="289E6F86">
            <w:pPr>
              <w:jc w:val="center"/>
              <w:rPr>
                <w:rFonts w:ascii="仿宋" w:hAnsi="仿宋" w:cs="仿宋"/>
                <w:color w:val="000000" w:themeColor="text1"/>
                <w:highlight w:val="none"/>
                <w14:textFill>
                  <w14:solidFill>
                    <w14:schemeClr w14:val="tx1"/>
                  </w14:solidFill>
                </w14:textFill>
              </w:rPr>
            </w:pPr>
          </w:p>
        </w:tc>
      </w:tr>
      <w:tr w14:paraId="5550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4D61C5AE">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w:t>
            </w:r>
          </w:p>
        </w:tc>
        <w:tc>
          <w:tcPr>
            <w:tcW w:w="1093" w:type="dxa"/>
            <w:tcBorders>
              <w:top w:val="single" w:color="auto" w:sz="4" w:space="0"/>
              <w:left w:val="single" w:color="auto" w:sz="4" w:space="0"/>
              <w:bottom w:val="single" w:color="auto" w:sz="4" w:space="0"/>
              <w:right w:val="single" w:color="auto" w:sz="4" w:space="0"/>
            </w:tcBorders>
            <w:vAlign w:val="center"/>
          </w:tcPr>
          <w:p w14:paraId="105CCD85">
            <w:pPr>
              <w:jc w:val="center"/>
              <w:rPr>
                <w:rFonts w:ascii="仿宋" w:hAnsi="仿宋" w:cs="仿宋"/>
                <w:color w:val="000000" w:themeColor="text1"/>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01C4109B">
            <w:pPr>
              <w:jc w:val="center"/>
              <w:rPr>
                <w:rFonts w:ascii="仿宋" w:hAnsi="仿宋" w:cs="仿宋"/>
                <w:color w:val="000000" w:themeColor="text1"/>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vAlign w:val="center"/>
          </w:tcPr>
          <w:p w14:paraId="6268127E">
            <w:pPr>
              <w:jc w:val="center"/>
              <w:rPr>
                <w:rFonts w:ascii="仿宋" w:hAnsi="仿宋" w:cs="仿宋"/>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vAlign w:val="center"/>
          </w:tcPr>
          <w:p w14:paraId="59D43D95">
            <w:pPr>
              <w:jc w:val="center"/>
              <w:rPr>
                <w:rFonts w:ascii="仿宋" w:hAnsi="仿宋" w:cs="仿宋"/>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vAlign w:val="center"/>
          </w:tcPr>
          <w:p w14:paraId="4D64E304">
            <w:pPr>
              <w:jc w:val="center"/>
              <w:rPr>
                <w:rFonts w:ascii="仿宋" w:hAnsi="仿宋" w:cs="仿宋"/>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vAlign w:val="center"/>
          </w:tcPr>
          <w:p w14:paraId="3C977A49">
            <w:pPr>
              <w:jc w:val="center"/>
              <w:rPr>
                <w:rFonts w:ascii="仿宋" w:hAnsi="仿宋" w:cs="仿宋"/>
                <w:color w:val="000000" w:themeColor="text1"/>
                <w:highlight w:val="none"/>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auto" w:sz="4" w:space="0"/>
            </w:tcBorders>
            <w:vAlign w:val="center"/>
          </w:tcPr>
          <w:p w14:paraId="50D17501">
            <w:pPr>
              <w:jc w:val="center"/>
              <w:rPr>
                <w:rFonts w:ascii="仿宋" w:hAnsi="仿宋" w:cs="仿宋"/>
                <w:color w:val="000000" w:themeColor="text1"/>
                <w:highlight w:val="none"/>
                <w14:textFill>
                  <w14:solidFill>
                    <w14:schemeClr w14:val="tx1"/>
                  </w14:solidFill>
                </w14:textFill>
              </w:rPr>
            </w:pPr>
          </w:p>
        </w:tc>
        <w:tc>
          <w:tcPr>
            <w:tcW w:w="774" w:type="dxa"/>
            <w:tcBorders>
              <w:top w:val="single" w:color="auto" w:sz="4" w:space="0"/>
              <w:left w:val="single" w:color="auto" w:sz="4" w:space="0"/>
              <w:bottom w:val="single" w:color="auto" w:sz="4" w:space="0"/>
              <w:right w:val="single" w:color="auto" w:sz="4" w:space="0"/>
            </w:tcBorders>
            <w:vAlign w:val="center"/>
          </w:tcPr>
          <w:p w14:paraId="04000D64">
            <w:pPr>
              <w:jc w:val="center"/>
              <w:rPr>
                <w:rFonts w:ascii="仿宋" w:hAnsi="仿宋" w:cs="仿宋"/>
                <w:color w:val="000000" w:themeColor="text1"/>
                <w:highlight w:val="none"/>
                <w14:textFill>
                  <w14:solidFill>
                    <w14:schemeClr w14:val="tx1"/>
                  </w14:solidFill>
                </w14:textFill>
              </w:rPr>
            </w:pPr>
          </w:p>
        </w:tc>
      </w:tr>
    </w:tbl>
    <w:p w14:paraId="1C0A0B12">
      <w:pPr>
        <w:spacing w:line="360" w:lineRule="auto"/>
        <w:rPr>
          <w:rFonts w:hint="eastAsia" w:ascii="仿宋" w:hAnsi="仿宋" w:cs="仿宋"/>
          <w:color w:val="000000" w:themeColor="text1"/>
          <w:highlight w:val="none"/>
          <w14:textFill>
            <w14:solidFill>
              <w14:schemeClr w14:val="tx1"/>
            </w14:solidFill>
          </w14:textFill>
        </w:rPr>
      </w:pPr>
      <w:r>
        <w:rPr>
          <w:rFonts w:hint="eastAsia" w:ascii="仿宋" w:hAnsi="仿宋" w:cs="仿宋"/>
          <w:color w:val="000000" w:themeColor="text1"/>
          <w:sz w:val="24"/>
          <w:highlight w:val="none"/>
          <w:lang w:eastAsia="zh-CN"/>
          <w14:textFill>
            <w14:solidFill>
              <w14:schemeClr w14:val="tx1"/>
            </w14:solidFill>
          </w14:textFill>
        </w:rPr>
        <w:t>投标人可以自行增加列。</w:t>
      </w:r>
    </w:p>
    <w:p w14:paraId="6F07AF6A">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w:t>
      </w:r>
    </w:p>
    <w:p w14:paraId="3EEBFC74">
      <w:pPr>
        <w:numPr>
          <w:ilvl w:val="0"/>
          <w:numId w:val="70"/>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须如实提供与最终用户签订或最终用户盖章出具的业绩证明材料，业绩证明材料如为框架协议或入围协议复印件，还须同时提供该框架协议或入围协议项下的最终用户盖章的订单复印件，或同时提供最终用户订货电子页面截图和增值税发票复印件。</w:t>
      </w:r>
      <w:r>
        <w:rPr>
          <w:rFonts w:hint="eastAsia" w:ascii="仿宋" w:hAnsi="仿宋" w:cs="仿宋"/>
          <w:color w:val="000000" w:themeColor="text1"/>
          <w:sz w:val="24"/>
          <w:highlight w:val="none"/>
          <w:lang w:eastAsia="zh-CN"/>
          <w14:textFill>
            <w14:solidFill>
              <w14:schemeClr w14:val="tx1"/>
            </w14:solidFill>
          </w14:textFill>
        </w:rPr>
        <w:t>投标</w:t>
      </w:r>
      <w:r>
        <w:rPr>
          <w:rFonts w:hint="eastAsia" w:ascii="仿宋" w:hAnsi="仿宋" w:eastAsia="仿宋" w:cs="仿宋"/>
          <w:color w:val="000000" w:themeColor="text1"/>
          <w:sz w:val="24"/>
          <w:highlight w:val="none"/>
          <w14:textFill>
            <w14:solidFill>
              <w14:schemeClr w14:val="tx1"/>
            </w14:solidFill>
          </w14:textFill>
        </w:rPr>
        <w:t>人应准备好以上业绩证明材料原件备查，否则将可能导致被响应文件拒绝</w:t>
      </w:r>
      <w:r>
        <w:rPr>
          <w:rFonts w:hint="eastAsia" w:ascii="仿宋" w:hAnsi="仿宋" w:cs="仿宋"/>
          <w:color w:val="000000" w:themeColor="text1"/>
          <w:sz w:val="24"/>
          <w:highlight w:val="none"/>
          <w:lang w:eastAsia="zh-CN"/>
          <w14:textFill>
            <w14:solidFill>
              <w14:schemeClr w14:val="tx1"/>
            </w14:solidFill>
          </w14:textFill>
        </w:rPr>
        <w:t>。</w:t>
      </w:r>
    </w:p>
    <w:p w14:paraId="06F6A16A">
      <w:pPr>
        <w:numPr>
          <w:ilvl w:val="0"/>
          <w:numId w:val="70"/>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t>业绩</w:t>
      </w:r>
      <w:r>
        <w:rPr>
          <w:rFonts w:hint="eastAsia" w:ascii="仿宋" w:hAnsi="仿宋" w:eastAsia="仿宋" w:cs="仿宋"/>
          <w:color w:val="000000" w:themeColor="text1"/>
          <w:sz w:val="24"/>
          <w:szCs w:val="21"/>
          <w:highlight w:val="none"/>
          <w:lang w:eastAsia="zh-Hans"/>
          <w14:textFill>
            <w14:solidFill>
              <w14:schemeClr w14:val="tx1"/>
            </w14:solidFill>
          </w14:textFill>
        </w:rPr>
        <w:t>证明材料中</w:t>
      </w:r>
      <w:r>
        <w:rPr>
          <w:rFonts w:hint="eastAsia" w:ascii="仿宋" w:hAnsi="仿宋" w:eastAsia="仿宋" w:cs="仿宋"/>
          <w:color w:val="000000" w:themeColor="text1"/>
          <w:sz w:val="24"/>
          <w:szCs w:val="21"/>
          <w:highlight w:val="none"/>
          <w14:textFill>
            <w14:solidFill>
              <w14:schemeClr w14:val="tx1"/>
            </w14:solidFill>
          </w14:textFill>
        </w:rPr>
        <w:t>一般应包含合同</w:t>
      </w:r>
      <w:r>
        <w:rPr>
          <w:rFonts w:hint="eastAsia" w:ascii="仿宋" w:hAnsi="仿宋" w:eastAsia="仿宋" w:cs="仿宋"/>
          <w:color w:val="000000" w:themeColor="text1"/>
          <w:sz w:val="24"/>
          <w:szCs w:val="21"/>
          <w:highlight w:val="none"/>
          <w:lang w:eastAsia="zh-Hans"/>
          <w14:textFill>
            <w14:solidFill>
              <w14:schemeClr w14:val="tx1"/>
            </w14:solidFill>
          </w14:textFill>
        </w:rPr>
        <w:t>或协议标的物</w:t>
      </w:r>
      <w:r>
        <w:rPr>
          <w:rFonts w:hint="eastAsia" w:ascii="仿宋" w:hAnsi="仿宋" w:eastAsia="仿宋" w:cs="仿宋"/>
          <w:color w:val="000000" w:themeColor="text1"/>
          <w:sz w:val="24"/>
          <w:szCs w:val="21"/>
          <w:highlight w:val="none"/>
          <w14:textFill>
            <w14:solidFill>
              <w14:schemeClr w14:val="tx1"/>
            </w14:solidFill>
          </w14:textFill>
        </w:rPr>
        <w:t>、货物/服务名称、品牌/型号、数量、签订时间、合同</w:t>
      </w:r>
      <w:r>
        <w:rPr>
          <w:rFonts w:hint="eastAsia" w:ascii="仿宋" w:hAnsi="仿宋" w:eastAsia="仿宋" w:cs="仿宋"/>
          <w:color w:val="000000" w:themeColor="text1"/>
          <w:sz w:val="24"/>
          <w:szCs w:val="21"/>
          <w:highlight w:val="none"/>
          <w:lang w:eastAsia="zh-Hans"/>
          <w14:textFill>
            <w14:solidFill>
              <w14:schemeClr w14:val="tx1"/>
            </w14:solidFill>
          </w14:textFill>
        </w:rPr>
        <w:t>或协议</w:t>
      </w:r>
      <w:r>
        <w:rPr>
          <w:rFonts w:hint="eastAsia" w:ascii="仿宋" w:hAnsi="仿宋" w:eastAsia="仿宋" w:cs="仿宋"/>
          <w:color w:val="000000" w:themeColor="text1"/>
          <w:sz w:val="24"/>
          <w:szCs w:val="21"/>
          <w:highlight w:val="none"/>
          <w14:textFill>
            <w14:solidFill>
              <w14:schemeClr w14:val="tx1"/>
            </w14:solidFill>
          </w14:textFill>
        </w:rPr>
        <w:t>正文第一页</w:t>
      </w:r>
      <w:r>
        <w:rPr>
          <w:rFonts w:hint="eastAsia" w:ascii="仿宋" w:hAnsi="仿宋" w:eastAsia="仿宋" w:cs="仿宋"/>
          <w:color w:val="000000" w:themeColor="text1"/>
          <w:sz w:val="24"/>
          <w:szCs w:val="21"/>
          <w:highlight w:val="none"/>
          <w:lang w:eastAsia="zh-CN"/>
          <w14:textFill>
            <w14:solidFill>
              <w14:schemeClr w14:val="tx1"/>
            </w14:solidFill>
          </w14:textFill>
        </w:rPr>
        <w:t>、合同金额、产品信息、签字盖章页</w:t>
      </w:r>
      <w:r>
        <w:rPr>
          <w:rFonts w:hint="eastAsia" w:ascii="仿宋" w:hAnsi="仿宋" w:eastAsia="仿宋" w:cs="仿宋"/>
          <w:color w:val="000000" w:themeColor="text1"/>
          <w:sz w:val="24"/>
          <w:szCs w:val="21"/>
          <w:highlight w:val="none"/>
          <w14:textFill>
            <w14:solidFill>
              <w14:schemeClr w14:val="tx1"/>
            </w14:solidFill>
          </w14:textFill>
        </w:rPr>
        <w:t>等关键信息，</w:t>
      </w:r>
      <w:r>
        <w:rPr>
          <w:rFonts w:hint="eastAsia" w:ascii="仿宋" w:hAnsi="仿宋" w:eastAsia="仿宋" w:cs="仿宋"/>
          <w:color w:val="000000" w:themeColor="text1"/>
          <w:sz w:val="24"/>
          <w:szCs w:val="21"/>
          <w:highlight w:val="none"/>
          <w:lang w:val="en-US" w:eastAsia="zh-CN"/>
          <w14:textFill>
            <w14:solidFill>
              <w14:schemeClr w14:val="tx1"/>
            </w14:solidFill>
          </w14:textFill>
        </w:rPr>
        <w:t>且必须至少提供一份与合同相对应的发票复印件，</w:t>
      </w:r>
      <w:r>
        <w:rPr>
          <w:rFonts w:hint="eastAsia" w:ascii="仿宋" w:hAnsi="仿宋" w:eastAsia="仿宋" w:cs="仿宋"/>
          <w:color w:val="000000" w:themeColor="text1"/>
          <w:sz w:val="24"/>
          <w:szCs w:val="21"/>
          <w:highlight w:val="none"/>
          <w14:textFill>
            <w14:solidFill>
              <w14:schemeClr w14:val="tx1"/>
            </w14:solidFill>
          </w14:textFill>
        </w:rPr>
        <w:t>如评分专家组认定提供材料不能完整提供上述信息</w:t>
      </w:r>
      <w:r>
        <w:rPr>
          <w:rFonts w:hint="eastAsia" w:ascii="仿宋" w:hAnsi="仿宋" w:eastAsia="仿宋" w:cs="仿宋"/>
          <w:color w:val="000000" w:themeColor="text1"/>
          <w:sz w:val="24"/>
          <w:szCs w:val="21"/>
          <w:highlight w:val="none"/>
          <w:lang w:eastAsia="zh-Hans"/>
          <w14:textFill>
            <w14:solidFill>
              <w14:schemeClr w14:val="tx1"/>
            </w14:solidFill>
          </w14:textFill>
        </w:rPr>
        <w:t>，则可能被视为证明</w:t>
      </w:r>
      <w:r>
        <w:rPr>
          <w:rFonts w:hint="eastAsia" w:ascii="仿宋" w:hAnsi="仿宋" w:eastAsia="仿宋" w:cs="仿宋"/>
          <w:color w:val="000000" w:themeColor="text1"/>
          <w:sz w:val="24"/>
          <w:szCs w:val="21"/>
          <w:highlight w:val="none"/>
          <w14:textFill>
            <w14:solidFill>
              <w14:schemeClr w14:val="tx1"/>
            </w14:solidFill>
          </w14:textFill>
        </w:rPr>
        <w:t>无效。合同</w:t>
      </w:r>
      <w:r>
        <w:rPr>
          <w:rFonts w:hint="eastAsia" w:ascii="仿宋" w:hAnsi="仿宋" w:eastAsia="仿宋" w:cs="仿宋"/>
          <w:color w:val="000000" w:themeColor="text1"/>
          <w:sz w:val="24"/>
          <w:szCs w:val="21"/>
          <w:highlight w:val="none"/>
          <w:lang w:eastAsia="zh-Hans"/>
          <w14:textFill>
            <w14:solidFill>
              <w14:schemeClr w14:val="tx1"/>
            </w14:solidFill>
          </w14:textFill>
        </w:rPr>
        <w:t>或协议</w:t>
      </w:r>
      <w:r>
        <w:rPr>
          <w:rFonts w:hint="eastAsia" w:ascii="仿宋" w:hAnsi="仿宋" w:eastAsia="仿宋" w:cs="仿宋"/>
          <w:color w:val="000000" w:themeColor="text1"/>
          <w:sz w:val="24"/>
          <w:szCs w:val="21"/>
          <w:highlight w:val="none"/>
          <w14:textFill>
            <w14:solidFill>
              <w14:schemeClr w14:val="tx1"/>
            </w14:solidFill>
          </w14:textFill>
        </w:rPr>
        <w:t>的买方必须为最终用户</w:t>
      </w:r>
      <w:r>
        <w:rPr>
          <w:rFonts w:hint="eastAsia" w:ascii="仿宋" w:hAnsi="仿宋" w:eastAsia="仿宋" w:cs="仿宋"/>
          <w:color w:val="000000" w:themeColor="text1"/>
          <w:sz w:val="24"/>
          <w:szCs w:val="21"/>
          <w:highlight w:val="none"/>
          <w:lang w:eastAsia="zh-CN"/>
          <w14:textFill>
            <w14:solidFill>
              <w14:schemeClr w14:val="tx1"/>
            </w14:solidFill>
          </w14:textFill>
        </w:rPr>
        <w:t>。</w:t>
      </w:r>
    </w:p>
    <w:p w14:paraId="5BDF5F32">
      <w:pPr>
        <w:numPr>
          <w:ilvl w:val="0"/>
          <w:numId w:val="70"/>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投标人需按照表格的顺序装订业绩证明文件，无业绩证明文件的业绩不予认可，合同装订顺序须与表中所列项目顺序一致。</w:t>
      </w:r>
    </w:p>
    <w:p w14:paraId="4C4A47CA">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p>
    <w:p w14:paraId="0979232D">
      <w:pPr>
        <w:pStyle w:val="15"/>
        <w:rPr>
          <w:rFonts w:ascii="仿宋" w:hAnsi="仿宋" w:cs="仿宋"/>
          <w:bCs/>
          <w:color w:val="000000" w:themeColor="text1"/>
          <w:szCs w:val="24"/>
          <w:highlight w:val="none"/>
          <w14:textFill>
            <w14:solidFill>
              <w14:schemeClr w14:val="tx1"/>
            </w14:solidFill>
          </w14:textFill>
        </w:rPr>
      </w:pPr>
      <w:r>
        <w:rPr>
          <w:rFonts w:hint="eastAsia" w:ascii="仿宋" w:hAnsi="仿宋" w:cs="仿宋"/>
          <w:color w:val="000000" w:themeColor="text1"/>
          <w:sz w:val="18"/>
          <w:highlight w:val="none"/>
          <w14:textFill>
            <w14:solidFill>
              <w14:schemeClr w14:val="tx1"/>
            </w14:solidFill>
          </w14:textFill>
        </w:rPr>
        <w:t xml:space="preserve"> </w:t>
      </w:r>
    </w:p>
    <w:p w14:paraId="1F17C983">
      <w:pPr>
        <w:pStyle w:val="15"/>
        <w:rPr>
          <w:rFonts w:ascii="仿宋" w:hAnsi="仿宋" w:cs="仿宋"/>
          <w:bCs/>
          <w:color w:val="000000" w:themeColor="text1"/>
          <w:szCs w:val="24"/>
          <w:highlight w:val="none"/>
          <w14:textFill>
            <w14:solidFill>
              <w14:schemeClr w14:val="tx1"/>
            </w14:solidFill>
          </w14:textFill>
        </w:rPr>
      </w:pPr>
      <w:r>
        <w:rPr>
          <w:rFonts w:hint="eastAsia" w:ascii="仿宋" w:hAnsi="仿宋" w:cs="仿宋"/>
          <w:bCs/>
          <w:color w:val="000000" w:themeColor="text1"/>
          <w:szCs w:val="24"/>
          <w:highlight w:val="none"/>
          <w14:textFill>
            <w14:solidFill>
              <w14:schemeClr w14:val="tx1"/>
            </w14:solidFill>
          </w14:textFill>
        </w:rPr>
        <w:t xml:space="preserve">投标人名称（盖章）：  </w:t>
      </w:r>
      <w:r>
        <w:rPr>
          <w:rFonts w:hint="eastAsia" w:ascii="仿宋" w:hAnsi="仿宋" w:cs="仿宋"/>
          <w:bCs/>
          <w:color w:val="000000" w:themeColor="text1"/>
          <w:szCs w:val="24"/>
          <w:highlight w:val="none"/>
          <w:u w:val="single"/>
          <w14:textFill>
            <w14:solidFill>
              <w14:schemeClr w14:val="tx1"/>
            </w14:solidFill>
          </w14:textFill>
        </w:rPr>
        <w:t xml:space="preserve"> </w:t>
      </w:r>
      <w:r>
        <w:rPr>
          <w:rFonts w:hint="eastAsia" w:ascii="仿宋" w:hAnsi="仿宋" w:cs="仿宋"/>
          <w:bCs/>
          <w:color w:val="000000" w:themeColor="text1"/>
          <w:szCs w:val="24"/>
          <w:highlight w:val="none"/>
          <w:u w:val="single"/>
          <w14:textFill>
            <w14:solidFill>
              <w14:schemeClr w14:val="tx1"/>
            </w14:solidFill>
          </w14:textFill>
        </w:rPr>
        <w:tab/>
      </w:r>
      <w:r>
        <w:rPr>
          <w:rFonts w:hint="eastAsia" w:ascii="仿宋" w:hAnsi="仿宋" w:cs="仿宋"/>
          <w:bCs/>
          <w:color w:val="000000" w:themeColor="text1"/>
          <w:szCs w:val="24"/>
          <w:highlight w:val="none"/>
          <w:u w:val="single"/>
          <w14:textFill>
            <w14:solidFill>
              <w14:schemeClr w14:val="tx1"/>
            </w14:solidFill>
          </w14:textFill>
        </w:rPr>
        <w:t xml:space="preserve">                        </w:t>
      </w:r>
      <w:r>
        <w:rPr>
          <w:rFonts w:hint="eastAsia" w:ascii="仿宋" w:hAnsi="仿宋" w:cs="仿宋"/>
          <w:bCs/>
          <w:color w:val="000000" w:themeColor="text1"/>
          <w:szCs w:val="24"/>
          <w:highlight w:val="none"/>
          <w:u w:val="single"/>
          <w14:textFill>
            <w14:solidFill>
              <w14:schemeClr w14:val="tx1"/>
            </w14:solidFill>
          </w14:textFill>
        </w:rPr>
        <w:tab/>
      </w:r>
    </w:p>
    <w:p w14:paraId="7FF0FE15">
      <w:pPr>
        <w:pStyle w:val="15"/>
        <w:rPr>
          <w:rFonts w:ascii="仿宋" w:hAnsi="仿宋" w:cs="仿宋"/>
          <w:bCs/>
          <w:color w:val="000000" w:themeColor="text1"/>
          <w:szCs w:val="24"/>
          <w:highlight w:val="none"/>
          <w14:textFill>
            <w14:solidFill>
              <w14:schemeClr w14:val="tx1"/>
            </w14:solidFill>
          </w14:textFill>
        </w:rPr>
      </w:pPr>
      <w:r>
        <w:rPr>
          <w:rFonts w:hint="eastAsia" w:ascii="仿宋" w:hAnsi="仿宋" w:cs="仿宋"/>
          <w:bCs/>
          <w:color w:val="000000" w:themeColor="text1"/>
          <w:szCs w:val="24"/>
          <w:highlight w:val="none"/>
          <w14:textFill>
            <w14:solidFill>
              <w14:schemeClr w14:val="tx1"/>
            </w14:solidFill>
          </w14:textFill>
        </w:rPr>
        <w:t xml:space="preserve">投标人代表（签字）：   </w:t>
      </w:r>
      <w:r>
        <w:rPr>
          <w:rFonts w:hint="eastAsia" w:ascii="仿宋" w:hAnsi="仿宋" w:cs="仿宋"/>
          <w:bCs/>
          <w:color w:val="000000" w:themeColor="text1"/>
          <w:szCs w:val="24"/>
          <w:highlight w:val="none"/>
          <w:u w:val="single"/>
          <w14:textFill>
            <w14:solidFill>
              <w14:schemeClr w14:val="tx1"/>
            </w14:solidFill>
          </w14:textFill>
        </w:rPr>
        <w:t xml:space="preserve"> </w:t>
      </w:r>
      <w:r>
        <w:rPr>
          <w:rFonts w:hint="eastAsia" w:ascii="仿宋" w:hAnsi="仿宋" w:cs="仿宋"/>
          <w:bCs/>
          <w:color w:val="000000" w:themeColor="text1"/>
          <w:szCs w:val="24"/>
          <w:highlight w:val="none"/>
          <w:u w:val="single"/>
          <w14:textFill>
            <w14:solidFill>
              <w14:schemeClr w14:val="tx1"/>
            </w14:solidFill>
          </w14:textFill>
        </w:rPr>
        <w:tab/>
      </w:r>
      <w:r>
        <w:rPr>
          <w:rFonts w:hint="eastAsia" w:ascii="仿宋" w:hAnsi="仿宋" w:cs="仿宋"/>
          <w:bCs/>
          <w:color w:val="000000" w:themeColor="text1"/>
          <w:szCs w:val="24"/>
          <w:highlight w:val="none"/>
          <w:u w:val="single"/>
          <w14:textFill>
            <w14:solidFill>
              <w14:schemeClr w14:val="tx1"/>
            </w14:solidFill>
          </w14:textFill>
        </w:rPr>
        <w:t xml:space="preserve">                        </w:t>
      </w:r>
      <w:r>
        <w:rPr>
          <w:rFonts w:hint="eastAsia" w:ascii="仿宋" w:hAnsi="仿宋" w:cs="仿宋"/>
          <w:bCs/>
          <w:color w:val="000000" w:themeColor="text1"/>
          <w:szCs w:val="24"/>
          <w:highlight w:val="none"/>
          <w:u w:val="single"/>
          <w14:textFill>
            <w14:solidFill>
              <w14:schemeClr w14:val="tx1"/>
            </w14:solidFill>
          </w14:textFill>
        </w:rPr>
        <w:tab/>
      </w:r>
      <w:r>
        <w:rPr>
          <w:rFonts w:hint="eastAsia" w:ascii="仿宋" w:hAnsi="仿宋" w:cs="仿宋"/>
          <w:bCs/>
          <w:color w:val="000000" w:themeColor="text1"/>
          <w:szCs w:val="24"/>
          <w:highlight w:val="none"/>
          <w:u w:val="single"/>
          <w14:textFill>
            <w14:solidFill>
              <w14:schemeClr w14:val="tx1"/>
            </w14:solidFill>
          </w14:textFill>
        </w:rPr>
        <w:t xml:space="preserve"> </w:t>
      </w:r>
    </w:p>
    <w:p w14:paraId="6D364B6B">
      <w:pPr>
        <w:widowControl/>
        <w:jc w:val="left"/>
        <w:rPr>
          <w:rFonts w:ascii="仿宋" w:hAnsi="仿宋" w:cs="仿宋"/>
          <w:bCs/>
          <w:color w:val="000000" w:themeColor="text1"/>
          <w:highlight w:val="none"/>
          <w14:textFill>
            <w14:solidFill>
              <w14:schemeClr w14:val="tx1"/>
            </w14:solidFill>
          </w14:textFill>
        </w:rPr>
      </w:pPr>
    </w:p>
    <w:p w14:paraId="306B31C6">
      <w:pPr>
        <w:widowControl/>
        <w:jc w:val="left"/>
        <w:rPr>
          <w:rFonts w:ascii="仿宋" w:hAnsi="仿宋" w:cs="仿宋"/>
          <w:color w:val="000000" w:themeColor="text1"/>
          <w:highlight w:val="none"/>
          <w:u w:val="single"/>
          <w14:textFill>
            <w14:solidFill>
              <w14:schemeClr w14:val="tx1"/>
            </w14:solidFill>
          </w14:textFill>
        </w:rPr>
        <w:sectPr>
          <w:footerReference r:id="rId5" w:type="default"/>
          <w:pgSz w:w="11906" w:h="16838"/>
          <w:pgMar w:top="1440" w:right="1800" w:bottom="1440" w:left="1800" w:header="851" w:footer="992" w:gutter="0"/>
          <w:cols w:space="425" w:num="1"/>
          <w:docGrid w:type="lines" w:linePitch="312" w:charSpace="0"/>
        </w:sectPr>
      </w:pPr>
    </w:p>
    <w:p w14:paraId="4229BAFD">
      <w:pPr>
        <w:tabs>
          <w:tab w:val="left" w:pos="5580"/>
        </w:tabs>
        <w:spacing w:line="360" w:lineRule="auto"/>
        <w:outlineLvl w:val="1"/>
        <w:rPr>
          <w:rFonts w:ascii="仿宋" w:hAnsi="仿宋" w:cs="仿宋"/>
          <w:b/>
          <w:bCs/>
          <w:color w:val="000000" w:themeColor="text1"/>
          <w:highlight w:val="none"/>
          <w14:textFill>
            <w14:solidFill>
              <w14:schemeClr w14:val="tx1"/>
            </w14:solidFill>
          </w14:textFill>
        </w:rPr>
      </w:pPr>
      <w:bookmarkStart w:id="437" w:name="_Toc12085"/>
      <w:bookmarkStart w:id="438" w:name="_Toc149230436"/>
      <w:bookmarkStart w:id="439" w:name="_Toc481"/>
      <w:bookmarkStart w:id="440" w:name="_Toc6431"/>
      <w:bookmarkStart w:id="441" w:name="_Toc27974"/>
      <w:bookmarkStart w:id="442" w:name="_Toc150933656"/>
      <w:bookmarkStart w:id="443" w:name="_Toc30557"/>
      <w:bookmarkStart w:id="444" w:name="_Toc7554"/>
      <w:bookmarkStart w:id="445" w:name="_Toc108796183"/>
      <w:r>
        <w:rPr>
          <w:rFonts w:hint="eastAsia" w:ascii="仿宋" w:hAnsi="仿宋" w:cs="仿宋"/>
          <w:b/>
          <w:bCs/>
          <w:color w:val="000000" w:themeColor="text1"/>
          <w:highlight w:val="none"/>
          <w14:textFill>
            <w14:solidFill>
              <w14:schemeClr w14:val="tx1"/>
            </w14:solidFill>
          </w14:textFill>
        </w:rPr>
        <w:t>附件7 保密承诺书</w:t>
      </w:r>
      <w:bookmarkEnd w:id="437"/>
      <w:bookmarkEnd w:id="438"/>
      <w:bookmarkEnd w:id="439"/>
      <w:bookmarkEnd w:id="440"/>
      <w:bookmarkEnd w:id="441"/>
      <w:bookmarkEnd w:id="442"/>
      <w:bookmarkEnd w:id="443"/>
      <w:bookmarkEnd w:id="444"/>
      <w:bookmarkEnd w:id="445"/>
    </w:p>
    <w:p w14:paraId="273B3A1C">
      <w:pPr>
        <w:spacing w:line="360" w:lineRule="auto"/>
        <w:ind w:firstLine="480" w:firstLineChars="200"/>
        <w:rPr>
          <w:rFonts w:ascii="仿宋" w:hAnsi="仿宋" w:cs="仿宋"/>
          <w:color w:val="000000" w:themeColor="text1"/>
          <w:highlight w:val="none"/>
          <w14:textFill>
            <w14:solidFill>
              <w14:schemeClr w14:val="tx1"/>
            </w14:solidFill>
          </w14:textFill>
        </w:rPr>
      </w:pPr>
    </w:p>
    <w:p w14:paraId="7FB845B2">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XXXXX有限公司）按贵行（中国银行股份有限公司青海省分行）邀请，参与XXXXXXXXX项目的采购工作，有必要获得贵行有关的信息，以便我方了解和使用。鉴于在合作的过程中，贵行提供给我方或我方自行接触到的信息，我方不能向任何第三方进行任何披露，因此我方特向贵行做出如下陈述与承诺，并保证受本承诺书的约束。</w:t>
      </w:r>
    </w:p>
    <w:p w14:paraId="1AE93DA1">
      <w:pPr>
        <w:spacing w:line="360" w:lineRule="auto"/>
        <w:ind w:firstLine="482" w:firstLineChars="200"/>
        <w:outlineLvl w:val="2"/>
        <w:rPr>
          <w:rFonts w:ascii="仿宋" w:hAnsi="仿宋" w:cs="仿宋"/>
          <w:b/>
          <w:bCs/>
          <w:color w:val="000000" w:themeColor="text1"/>
          <w:highlight w:val="none"/>
          <w14:textFill>
            <w14:solidFill>
              <w14:schemeClr w14:val="tx1"/>
            </w14:solidFill>
          </w14:textFill>
        </w:rPr>
      </w:pPr>
      <w:bookmarkStart w:id="446" w:name="_Toc12908"/>
      <w:bookmarkStart w:id="447" w:name="_Toc150933657"/>
      <w:bookmarkStart w:id="448" w:name="_Toc22050"/>
      <w:r>
        <w:rPr>
          <w:rFonts w:hint="eastAsia" w:ascii="仿宋" w:hAnsi="仿宋" w:cs="仿宋"/>
          <w:b/>
          <w:bCs/>
          <w:color w:val="000000" w:themeColor="text1"/>
          <w:highlight w:val="none"/>
          <w14:textFill>
            <w14:solidFill>
              <w14:schemeClr w14:val="tx1"/>
            </w14:solidFill>
          </w14:textFill>
        </w:rPr>
        <w:t>第一条 定义</w:t>
      </w:r>
      <w:bookmarkEnd w:id="446"/>
      <w:bookmarkEnd w:id="447"/>
      <w:bookmarkEnd w:id="448"/>
    </w:p>
    <w:p w14:paraId="3B1C0EDB">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本承诺书中，有关术语含义如下：</w:t>
      </w:r>
    </w:p>
    <w:p w14:paraId="746029C2">
      <w:pPr>
        <w:numPr>
          <w:ilvl w:val="0"/>
          <w:numId w:val="71"/>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“信息”指任何以口头、书面、语音、视频或电子形式存在的信息，无论贵行对上述信息是否享有知识产权。包括但不限于：</w:t>
      </w:r>
    </w:p>
    <w:p w14:paraId="6FD1BB53">
      <w:pPr>
        <w:numPr>
          <w:ilvl w:val="0"/>
          <w:numId w:val="72"/>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任何涉及贵行过去、现在或将来的商业计划、规章制度、操作规程、处理手段、财务信息；</w:t>
      </w:r>
    </w:p>
    <w:p w14:paraId="4C8ECB9D">
      <w:pPr>
        <w:numPr>
          <w:ilvl w:val="0"/>
          <w:numId w:val="72"/>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任何贵行的技术措施、技术方案、软件应用及开发，硬件设备的品种、质量、数量、品牌等；</w:t>
      </w:r>
    </w:p>
    <w:p w14:paraId="4BF5F140">
      <w:pPr>
        <w:numPr>
          <w:ilvl w:val="0"/>
          <w:numId w:val="72"/>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任何贵行的技术秘密或专有知识、文件 、报告、数据、客户软件、流程图、数据库、发明、知识、及贸易秘密；</w:t>
      </w:r>
    </w:p>
    <w:p w14:paraId="29BD9CAA">
      <w:pPr>
        <w:numPr>
          <w:ilvl w:val="0"/>
          <w:numId w:val="72"/>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任何贵行的客户信息、业务信息；</w:t>
      </w:r>
    </w:p>
    <w:p w14:paraId="69CA306C">
      <w:pPr>
        <w:numPr>
          <w:ilvl w:val="0"/>
          <w:numId w:val="72"/>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任何贵行产品的内容、模板、模型、模具、样品和成品及相关信息</w:t>
      </w:r>
    </w:p>
    <w:p w14:paraId="22BF9FEB">
      <w:pPr>
        <w:numPr>
          <w:ilvl w:val="0"/>
          <w:numId w:val="72"/>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项目协议及其条款，以及与项目协议相关的其他文件；</w:t>
      </w:r>
    </w:p>
    <w:p w14:paraId="07A880DD">
      <w:pPr>
        <w:numPr>
          <w:ilvl w:val="0"/>
          <w:numId w:val="72"/>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本承诺书及其条款；</w:t>
      </w:r>
    </w:p>
    <w:p w14:paraId="42FA3A3E">
      <w:pPr>
        <w:numPr>
          <w:ilvl w:val="0"/>
          <w:numId w:val="72"/>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任何其他的以有形方式或无形方式存在的信息。</w:t>
      </w:r>
    </w:p>
    <w:p w14:paraId="43B5E007">
      <w:pPr>
        <w:pStyle w:val="32"/>
        <w:ind w:left="480" w:firstLine="640"/>
        <w:rPr>
          <w:rFonts w:ascii="仿宋" w:hAnsi="仿宋"/>
          <w:color w:val="000000" w:themeColor="text1"/>
          <w:highlight w:val="none"/>
          <w14:textFill>
            <w14:solidFill>
              <w14:schemeClr w14:val="tx1"/>
            </w14:solidFill>
          </w14:textFill>
        </w:rPr>
      </w:pPr>
    </w:p>
    <w:p w14:paraId="0BBF3448">
      <w:pPr>
        <w:numPr>
          <w:ilvl w:val="0"/>
          <w:numId w:val="71"/>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“保密信息”指贵行表示我方应当保守秘密的任何“信息”，该表示可以发生在我方获取该信息的当时，也可以发生于在此之后的任何时间，该明确表示可以通过：</w:t>
      </w:r>
    </w:p>
    <w:p w14:paraId="7B587DF9">
      <w:pPr>
        <w:numPr>
          <w:ilvl w:val="0"/>
          <w:numId w:val="73"/>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书面（含电子文档）的形式；</w:t>
      </w:r>
    </w:p>
    <w:p w14:paraId="2762CE4C">
      <w:pPr>
        <w:numPr>
          <w:ilvl w:val="0"/>
          <w:numId w:val="73"/>
        </w:numPr>
        <w:spacing w:line="360" w:lineRule="auto"/>
        <w:ind w:firstLine="480" w:firstLineChars="2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口头的形式。</w:t>
      </w:r>
    </w:p>
    <w:p w14:paraId="664E5A2B">
      <w:pPr>
        <w:numPr>
          <w:ilvl w:val="0"/>
          <w:numId w:val="71"/>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本承诺书中“我方”、“贵行”均应视为包括其关联方。</w:t>
      </w:r>
    </w:p>
    <w:p w14:paraId="1D7FABA0">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某一方的“关联方”，是指直接或间接控制该方，或被该方控制，或与该方共同被控制的任何其他第三方。</w:t>
      </w:r>
    </w:p>
    <w:p w14:paraId="28D1432F">
      <w:pPr>
        <w:spacing w:line="360" w:lineRule="auto"/>
        <w:ind w:firstLine="482" w:firstLineChars="200"/>
        <w:outlineLvl w:val="2"/>
        <w:rPr>
          <w:rFonts w:ascii="仿宋" w:hAnsi="仿宋" w:cs="仿宋"/>
          <w:color w:val="000000" w:themeColor="text1"/>
          <w:highlight w:val="none"/>
          <w14:textFill>
            <w14:solidFill>
              <w14:schemeClr w14:val="tx1"/>
            </w14:solidFill>
          </w14:textFill>
        </w:rPr>
      </w:pPr>
      <w:bookmarkStart w:id="449" w:name="_Toc150933658"/>
      <w:bookmarkStart w:id="450" w:name="_Toc27017"/>
      <w:bookmarkStart w:id="451" w:name="_Toc31323"/>
      <w:r>
        <w:rPr>
          <w:rFonts w:hint="eastAsia" w:ascii="仿宋" w:hAnsi="仿宋" w:cs="仿宋"/>
          <w:b/>
          <w:bCs/>
          <w:color w:val="000000" w:themeColor="text1"/>
          <w:highlight w:val="none"/>
          <w14:textFill>
            <w14:solidFill>
              <w14:schemeClr w14:val="tx1"/>
            </w14:solidFill>
          </w14:textFill>
        </w:rPr>
        <w:t>第二条 我方保密的义务</w:t>
      </w:r>
      <w:bookmarkEnd w:id="449"/>
      <w:bookmarkEnd w:id="450"/>
      <w:bookmarkEnd w:id="451"/>
    </w:p>
    <w:p w14:paraId="673AFFB4">
      <w:pPr>
        <w:numPr>
          <w:ilvl w:val="0"/>
          <w:numId w:val="74"/>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我方对于从贵行处获取的保密信息，在未经贵行事先书面许可的情况下，不以任何方式提供给任何第三方</w:t>
      </w:r>
    </w:p>
    <w:p w14:paraId="6A34B779">
      <w:pPr>
        <w:numPr>
          <w:ilvl w:val="0"/>
          <w:numId w:val="74"/>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对于从贵行处获取的保密信息，应当通过建立内部保密制度、培训员工等方式和措施确保保密信息的安全，并且如果我方内部已有保密制度的，应将从贵行处得到的保密信息以不低于我方自己企业内部保密信息的保密要求且不低于本承诺书规定的保密要求进行安全管理。</w:t>
      </w:r>
    </w:p>
    <w:p w14:paraId="48FC0996">
      <w:pPr>
        <w:numPr>
          <w:ilvl w:val="0"/>
          <w:numId w:val="74"/>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我方严格保证:</w:t>
      </w:r>
    </w:p>
    <w:p w14:paraId="1DE0F8AC">
      <w:pPr>
        <w:numPr>
          <w:ilvl w:val="0"/>
          <w:numId w:val="75"/>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所获取的信息只能用于我方为贵行提供项目协议项下相关工作的目的，不得用于任何其他目的；</w:t>
      </w:r>
    </w:p>
    <w:p w14:paraId="571C4138">
      <w:pPr>
        <w:numPr>
          <w:ilvl w:val="0"/>
          <w:numId w:val="75"/>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所获取的信息在本企业内部能得到谨慎的使用，并采取有效的技术和组织管理安全保密措施进行保护，相关信息只能透露给本企业或本企业所属之分支机构、子公司内部参与我方与贵行项目协议履行的雇员，并且该雇员在知晓保密信息之前已经充分了解了本承诺书的内容并书面承诺遵守本承诺书项下规定的保密义务。我方将确保相关雇员依法合规履行项目协议及本承诺书项下保密义务，我方向相关雇员披露信息的范围，限于为依法合规履行项目协议项下工作由该等雇员所承担工作相关的必要信息，除征得贵行同意，我方对相关信息的使用、保存以及向相关雇员的信息披露将严格限于在中华人民共和国国内（不含港澳台地区）进行。如该雇员泄露本承诺书所规定的保密信息，无论其是否已离开我方，仍由我方承担本承诺书项下的违约责任。</w:t>
      </w:r>
    </w:p>
    <w:p w14:paraId="225C8C3D">
      <w:pPr>
        <w:numPr>
          <w:ilvl w:val="0"/>
          <w:numId w:val="75"/>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对于所获取的信息，除为履行项目协议之目的在本企业内部进行适当的复制外，不进行任何复制和传播。</w:t>
      </w:r>
    </w:p>
    <w:p w14:paraId="3F85DC5E">
      <w:pPr>
        <w:numPr>
          <w:ilvl w:val="0"/>
          <w:numId w:val="75"/>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未经贵行事先书面许可的情况下，我方不为从事同类服务或其他服务之目的使用从贵行获取的材料、产品以及其他贵行所有的信息，不将上述材料、产品和信息作为案例、模型或其他任何形式的材料，在任何场合演示和推广。</w:t>
      </w:r>
    </w:p>
    <w:p w14:paraId="462EC282">
      <w:pPr>
        <w:numPr>
          <w:ilvl w:val="0"/>
          <w:numId w:val="75"/>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除非贵行同意，否则我方不向第三方披露我方与贵行的任何会谈、会议、协商或共同工作的内容。</w:t>
      </w:r>
    </w:p>
    <w:p w14:paraId="58B916F9">
      <w:pPr>
        <w:numPr>
          <w:ilvl w:val="0"/>
          <w:numId w:val="75"/>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充分了解，根据适用的证券法律及其他相关法律规定，任何了解贵行的内幕信息的人员不得买卖任何贵行的证券，并不得向任何可能在可预见未来买卖贵行证券的个人或者实体传播该等信息或以其他任何方式从事内幕交易；</w:t>
      </w:r>
    </w:p>
    <w:p w14:paraId="529682CE">
      <w:pPr>
        <w:numPr>
          <w:ilvl w:val="0"/>
          <w:numId w:val="75"/>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kern w:val="0"/>
          <w:highlight w:val="none"/>
          <w14:textFill>
            <w14:solidFill>
              <w14:schemeClr w14:val="tx1"/>
            </w14:solidFill>
          </w14:textFill>
        </w:rPr>
        <w:t>保密信息的返还</w:t>
      </w:r>
      <w:r>
        <w:rPr>
          <w:rFonts w:hint="eastAsia" w:ascii="仿宋" w:hAnsi="仿宋" w:cs="仿宋"/>
          <w:color w:val="000000" w:themeColor="text1"/>
          <w:highlight w:val="none"/>
          <w14:textFill>
            <w14:solidFill>
              <w14:schemeClr w14:val="tx1"/>
            </w14:solidFill>
          </w14:textFill>
        </w:rPr>
        <w:t>或销毁</w:t>
      </w:r>
      <w:r>
        <w:rPr>
          <w:rFonts w:hint="eastAsia" w:ascii="仿宋" w:hAnsi="仿宋" w:cs="仿宋"/>
          <w:color w:val="000000" w:themeColor="text1"/>
          <w:kern w:val="0"/>
          <w:highlight w:val="none"/>
          <w14:textFill>
            <w14:solidFill>
              <w14:schemeClr w14:val="tx1"/>
            </w14:solidFill>
          </w14:textFill>
        </w:rPr>
        <w:t>。贵行要求我方返还或销毁任何因双方合作而透露的保密信息及其复制品时，我方应于收到通知后立即返还或销毁该等保密信息及其复制品。我方不得直接或间接地故意保留或控制任何保密信息及其复制品。</w:t>
      </w:r>
    </w:p>
    <w:p w14:paraId="248793D0">
      <w:pPr>
        <w:spacing w:line="360" w:lineRule="auto"/>
        <w:ind w:firstLine="482" w:firstLineChars="200"/>
        <w:outlineLvl w:val="2"/>
        <w:rPr>
          <w:rFonts w:ascii="仿宋" w:hAnsi="仿宋" w:cs="仿宋"/>
          <w:b/>
          <w:bCs/>
          <w:color w:val="000000" w:themeColor="text1"/>
          <w:highlight w:val="none"/>
          <w14:textFill>
            <w14:solidFill>
              <w14:schemeClr w14:val="tx1"/>
            </w14:solidFill>
          </w14:textFill>
        </w:rPr>
      </w:pPr>
      <w:bookmarkStart w:id="452" w:name="_Toc17435"/>
      <w:bookmarkStart w:id="453" w:name="_Toc150933659"/>
      <w:bookmarkStart w:id="454" w:name="_Toc27384"/>
      <w:r>
        <w:rPr>
          <w:rFonts w:hint="eastAsia" w:ascii="仿宋" w:hAnsi="仿宋" w:cs="仿宋"/>
          <w:b/>
          <w:bCs/>
          <w:color w:val="000000" w:themeColor="text1"/>
          <w:highlight w:val="none"/>
          <w14:textFill>
            <w14:solidFill>
              <w14:schemeClr w14:val="tx1"/>
            </w14:solidFill>
          </w14:textFill>
        </w:rPr>
        <w:t>第三条 非保密信息</w:t>
      </w:r>
      <w:bookmarkEnd w:id="452"/>
      <w:bookmarkEnd w:id="453"/>
      <w:bookmarkEnd w:id="454"/>
    </w:p>
    <w:p w14:paraId="0F3ABAE6">
      <w:pPr>
        <w:spacing w:line="360" w:lineRule="auto"/>
        <w:ind w:firstLine="480" w:firstLineChars="2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下述信息不视为保密信息：</w:t>
      </w:r>
    </w:p>
    <w:p w14:paraId="297AB537">
      <w:pPr>
        <w:numPr>
          <w:ilvl w:val="0"/>
          <w:numId w:val="76"/>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非由于我方违反本承诺书的原因进入公共领域的信息；</w:t>
      </w:r>
    </w:p>
    <w:p w14:paraId="375AAD87">
      <w:pPr>
        <w:numPr>
          <w:ilvl w:val="0"/>
          <w:numId w:val="76"/>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我方在获取信息前已经合法掌握的信息。</w:t>
      </w:r>
    </w:p>
    <w:p w14:paraId="78692E60">
      <w:pPr>
        <w:spacing w:line="360" w:lineRule="auto"/>
        <w:ind w:firstLine="482" w:firstLineChars="200"/>
        <w:outlineLvl w:val="2"/>
        <w:rPr>
          <w:rFonts w:ascii="仿宋" w:hAnsi="仿宋" w:cs="仿宋"/>
          <w:b/>
          <w:bCs/>
          <w:color w:val="000000" w:themeColor="text1"/>
          <w:highlight w:val="none"/>
          <w14:textFill>
            <w14:solidFill>
              <w14:schemeClr w14:val="tx1"/>
            </w14:solidFill>
          </w14:textFill>
        </w:rPr>
      </w:pPr>
      <w:bookmarkStart w:id="455" w:name="_Toc19007"/>
      <w:bookmarkStart w:id="456" w:name="_Toc150933660"/>
      <w:bookmarkStart w:id="457" w:name="_Toc27281"/>
      <w:r>
        <w:rPr>
          <w:rFonts w:hint="eastAsia" w:ascii="仿宋" w:hAnsi="仿宋" w:cs="仿宋"/>
          <w:b/>
          <w:bCs/>
          <w:color w:val="000000" w:themeColor="text1"/>
          <w:highlight w:val="none"/>
          <w14:textFill>
            <w14:solidFill>
              <w14:schemeClr w14:val="tx1"/>
            </w14:solidFill>
          </w14:textFill>
        </w:rPr>
        <w:t>第四条 保密责任的例外</w:t>
      </w:r>
      <w:bookmarkEnd w:id="455"/>
      <w:bookmarkEnd w:id="456"/>
      <w:bookmarkEnd w:id="457"/>
    </w:p>
    <w:p w14:paraId="1D72F451">
      <w:pPr>
        <w:spacing w:line="360" w:lineRule="auto"/>
        <w:ind w:firstLine="480" w:firstLineChars="2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在下述情况下，如发生保密信息泄露，应免除我方相应的责任；</w:t>
      </w:r>
    </w:p>
    <w:p w14:paraId="2D0A80FB">
      <w:pPr>
        <w:numPr>
          <w:ilvl w:val="0"/>
          <w:numId w:val="77"/>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我方被所在国家或地区法律法规要求披露有关保密信息；</w:t>
      </w:r>
    </w:p>
    <w:p w14:paraId="59A91BAF">
      <w:pPr>
        <w:numPr>
          <w:ilvl w:val="0"/>
          <w:numId w:val="77"/>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由于我方不可预见、不可避免、不可控制的原因，即不可抗力的原因，导致了保密信息泄露。</w:t>
      </w:r>
    </w:p>
    <w:p w14:paraId="421D0E80">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如因上述两情况造成保密信息泄露，在不违反法律法规、监管规定的前提下，我方将立即书面告知贵行，并采取合理措施配合贵行以控制保密信息的披露范围。</w:t>
      </w:r>
    </w:p>
    <w:p w14:paraId="4BA8FE06">
      <w:pPr>
        <w:spacing w:line="360" w:lineRule="auto"/>
        <w:ind w:firstLine="482" w:firstLineChars="200"/>
        <w:outlineLvl w:val="2"/>
        <w:rPr>
          <w:rFonts w:ascii="仿宋" w:hAnsi="仿宋" w:cs="仿宋"/>
          <w:b/>
          <w:bCs/>
          <w:color w:val="000000" w:themeColor="text1"/>
          <w:highlight w:val="none"/>
          <w14:textFill>
            <w14:solidFill>
              <w14:schemeClr w14:val="tx1"/>
            </w14:solidFill>
          </w14:textFill>
        </w:rPr>
      </w:pPr>
      <w:bookmarkStart w:id="458" w:name="_Toc150933661"/>
      <w:bookmarkStart w:id="459" w:name="_Toc14184"/>
      <w:bookmarkStart w:id="460" w:name="_Toc14773"/>
      <w:r>
        <w:rPr>
          <w:rFonts w:hint="eastAsia" w:ascii="仿宋" w:hAnsi="仿宋" w:cs="仿宋"/>
          <w:b/>
          <w:bCs/>
          <w:color w:val="000000" w:themeColor="text1"/>
          <w:highlight w:val="none"/>
          <w14:textFill>
            <w14:solidFill>
              <w14:schemeClr w14:val="tx1"/>
            </w14:solidFill>
          </w14:textFill>
        </w:rPr>
        <w:t>第五条 对本承诺书的保证</w:t>
      </w:r>
      <w:bookmarkEnd w:id="458"/>
      <w:bookmarkEnd w:id="459"/>
      <w:bookmarkEnd w:id="460"/>
    </w:p>
    <w:p w14:paraId="210962D8">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未经贵行书面同意，本承诺书不以任何方式进行修改、终止或解除。本承诺书</w:t>
      </w:r>
      <w:r>
        <w:rPr>
          <w:rFonts w:hint="eastAsia" w:ascii="仿宋" w:hAnsi="仿宋" w:cs="仿宋"/>
          <w:b/>
          <w:bCs/>
          <w:color w:val="000000" w:themeColor="text1"/>
          <w:highlight w:val="none"/>
          <w14:textFill>
            <w14:solidFill>
              <w14:schemeClr w14:val="tx1"/>
            </w14:solidFill>
          </w14:textFill>
        </w:rPr>
        <w:t>项</w:t>
      </w:r>
      <w:r>
        <w:rPr>
          <w:rFonts w:hint="eastAsia" w:ascii="仿宋" w:hAnsi="仿宋" w:cs="仿宋"/>
          <w:color w:val="000000" w:themeColor="text1"/>
          <w:highlight w:val="none"/>
          <w14:textFill>
            <w14:solidFill>
              <w14:schemeClr w14:val="tx1"/>
            </w14:solidFill>
          </w14:textFill>
        </w:rPr>
        <w:t>下的权利义务不得转让。</w:t>
      </w:r>
    </w:p>
    <w:p w14:paraId="2FB1E1FB">
      <w:pPr>
        <w:spacing w:line="360" w:lineRule="auto"/>
        <w:ind w:firstLine="482" w:firstLineChars="200"/>
        <w:outlineLvl w:val="2"/>
        <w:rPr>
          <w:rFonts w:ascii="仿宋" w:hAnsi="仿宋"/>
          <w:color w:val="000000" w:themeColor="text1"/>
          <w:highlight w:val="none"/>
          <w14:textFill>
            <w14:solidFill>
              <w14:schemeClr w14:val="tx1"/>
            </w14:solidFill>
          </w14:textFill>
        </w:rPr>
      </w:pPr>
      <w:bookmarkStart w:id="461" w:name="_Toc150933662"/>
      <w:bookmarkStart w:id="462" w:name="_Toc23390"/>
      <w:bookmarkStart w:id="463" w:name="_Toc28204"/>
      <w:r>
        <w:rPr>
          <w:rFonts w:hint="eastAsia" w:ascii="仿宋" w:hAnsi="仿宋" w:cs="仿宋"/>
          <w:b/>
          <w:bCs/>
          <w:color w:val="000000" w:themeColor="text1"/>
          <w:highlight w:val="none"/>
          <w14:textFill>
            <w14:solidFill>
              <w14:schemeClr w14:val="tx1"/>
            </w14:solidFill>
          </w14:textFill>
        </w:rPr>
        <w:t>第六条 本承诺书的效力范围</w:t>
      </w:r>
      <w:bookmarkEnd w:id="461"/>
      <w:bookmarkEnd w:id="462"/>
      <w:bookmarkEnd w:id="463"/>
    </w:p>
    <w:p w14:paraId="6EF98303">
      <w:pPr>
        <w:numPr>
          <w:ilvl w:val="0"/>
          <w:numId w:val="78"/>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承诺书的效力仅限于保密责任。在任何情况下，我方向贵行提交本承诺书都不表示或意味着贵行有责任与我方建立任何形式的商业合作关系。同时，贵行与我方交换信息的行为不应被视为是双方之间建立合作关系的合同，或者被视为是贵行签订合同的承诺。</w:t>
      </w:r>
    </w:p>
    <w:p w14:paraId="3E169D35">
      <w:pPr>
        <w:numPr>
          <w:ilvl w:val="0"/>
          <w:numId w:val="78"/>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贵行提供信息的行为不被视为是以任何方式授予技术许可，或是转让著作权、商标权、专利权或技术秘密的行为。我方取得信息并不表明取得了信息的任何知识产权；对贵行所提供的任何信息的知识产权和财产权利，全部归原权利人所有。</w:t>
      </w:r>
      <w:bookmarkStart w:id="464" w:name="_Toc24326"/>
      <w:bookmarkStart w:id="465" w:name="_Hlk40817180"/>
      <w:bookmarkStart w:id="466" w:name="_Toc2929"/>
      <w:bookmarkStart w:id="467" w:name="_Toc1461"/>
    </w:p>
    <w:p w14:paraId="3AD98800">
      <w:pPr>
        <w:spacing w:line="360" w:lineRule="auto"/>
        <w:ind w:firstLine="482" w:firstLineChars="200"/>
        <w:outlineLvl w:val="2"/>
        <w:rPr>
          <w:rFonts w:ascii="仿宋" w:hAnsi="仿宋" w:cs="仿宋"/>
          <w:b/>
          <w:bCs/>
          <w:color w:val="000000" w:themeColor="text1"/>
          <w:highlight w:val="none"/>
          <w14:textFill>
            <w14:solidFill>
              <w14:schemeClr w14:val="tx1"/>
            </w14:solidFill>
          </w14:textFill>
        </w:rPr>
      </w:pPr>
      <w:bookmarkStart w:id="468" w:name="_Toc12662"/>
      <w:bookmarkStart w:id="469" w:name="_Toc1332"/>
      <w:bookmarkStart w:id="470" w:name="_Toc150933663"/>
      <w:r>
        <w:rPr>
          <w:rFonts w:hint="eastAsia" w:ascii="仿宋" w:hAnsi="仿宋" w:cs="仿宋"/>
          <w:b/>
          <w:bCs/>
          <w:color w:val="000000" w:themeColor="text1"/>
          <w:highlight w:val="none"/>
          <w14:textFill>
            <w14:solidFill>
              <w14:schemeClr w14:val="tx1"/>
            </w14:solidFill>
          </w14:textFill>
        </w:rPr>
        <w:t>第七条 产生于泄密的责任</w:t>
      </w:r>
      <w:bookmarkEnd w:id="468"/>
      <w:bookmarkEnd w:id="469"/>
      <w:bookmarkEnd w:id="470"/>
    </w:p>
    <w:p w14:paraId="76279DD3">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任何保密信息的泄露或任何其它违反本承诺书的行为给贵行造成损失，我方承担相应的赔偿责任及其它所有可能涉及的民事（包括侵权）的、行政的和刑事的法律责任。</w:t>
      </w:r>
    </w:p>
    <w:p w14:paraId="23FA93F0">
      <w:pPr>
        <w:spacing w:line="360" w:lineRule="auto"/>
        <w:ind w:firstLine="482" w:firstLineChars="200"/>
        <w:outlineLvl w:val="2"/>
        <w:rPr>
          <w:rFonts w:ascii="仿宋" w:hAnsi="仿宋" w:cs="仿宋"/>
          <w:b/>
          <w:bCs/>
          <w:color w:val="000000" w:themeColor="text1"/>
          <w:highlight w:val="none"/>
          <w14:textFill>
            <w14:solidFill>
              <w14:schemeClr w14:val="tx1"/>
            </w14:solidFill>
          </w14:textFill>
        </w:rPr>
      </w:pPr>
      <w:bookmarkStart w:id="471" w:name="_Toc12938"/>
      <w:bookmarkStart w:id="472" w:name="_Toc150933664"/>
      <w:bookmarkStart w:id="473" w:name="_Toc32373"/>
      <w:r>
        <w:rPr>
          <w:rFonts w:hint="eastAsia" w:ascii="仿宋" w:hAnsi="仿宋" w:cs="仿宋"/>
          <w:b/>
          <w:bCs/>
          <w:color w:val="000000" w:themeColor="text1"/>
          <w:highlight w:val="none"/>
          <w14:textFill>
            <w14:solidFill>
              <w14:schemeClr w14:val="tx1"/>
            </w14:solidFill>
          </w14:textFill>
        </w:rPr>
        <w:t>第八条 争议解决</w:t>
      </w:r>
      <w:bookmarkEnd w:id="471"/>
      <w:bookmarkEnd w:id="472"/>
      <w:bookmarkEnd w:id="473"/>
    </w:p>
    <w:p w14:paraId="35F52185">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74" w:name="_Toc1240"/>
      <w:r>
        <w:rPr>
          <w:rFonts w:hint="eastAsia" w:ascii="仿宋" w:hAnsi="仿宋" w:cs="仿宋"/>
          <w:color w:val="000000" w:themeColor="text1"/>
          <w:highlight w:val="none"/>
          <w14:textFill>
            <w14:solidFill>
              <w14:schemeClr w14:val="tx1"/>
            </w14:solidFill>
          </w14:textFill>
        </w:rPr>
        <w:t>本承诺书适用中华人民共和国法律，为本承诺书之目的不包括中国香港、中国澳门及中国台湾的法律。如我方与贵行因本承诺发生民事纠纷，应通过友好协商解决，在协商不成时，同意采用以下方式解决：</w:t>
      </w:r>
      <w:bookmarkEnd w:id="474"/>
    </w:p>
    <w:p w14:paraId="0308646F">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75" w:name="_Toc22506"/>
      <w:r>
        <w:rPr>
          <w:rFonts w:hint="eastAsia" w:ascii="仿宋" w:hAnsi="仿宋" w:cs="仿宋"/>
          <w:color w:val="000000" w:themeColor="text1"/>
          <w:highlight w:val="none"/>
          <w14:textFill>
            <w14:solidFill>
              <w14:schemeClr w14:val="tx1"/>
            </w14:solidFill>
          </w14:textFill>
        </w:rPr>
        <w:t>□提交______仲裁委员会（仲裁地点______）并按照申请仲裁时该会现行有效的仲裁规则进行仲裁。仲裁裁决是终局的，对各方均有约束力。</w:t>
      </w:r>
      <w:bookmarkEnd w:id="475"/>
    </w:p>
    <w:p w14:paraId="38884E14">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76" w:name="_Toc13814"/>
      <w:r>
        <w:rPr>
          <w:rFonts w:hint="eastAsia" w:ascii="仿宋" w:hAnsi="仿宋" w:cs="仿宋"/>
          <w:color w:val="000000" w:themeColor="text1"/>
          <w:highlight w:val="none"/>
          <w14:textFill>
            <w14:solidFill>
              <w14:schemeClr w14:val="tx1"/>
            </w14:solidFill>
          </w14:textFill>
        </w:rPr>
        <w:t>□依法向贵行住所地有管辖权的人民法院起诉。</w:t>
      </w:r>
      <w:bookmarkEnd w:id="476"/>
      <w:r>
        <w:rPr>
          <w:rFonts w:hint="eastAsia" w:ascii="仿宋" w:hAnsi="仿宋" w:cs="仿宋"/>
          <w:color w:val="000000" w:themeColor="text1"/>
          <w:highlight w:val="none"/>
          <w14:textFill>
            <w14:solidFill>
              <w14:schemeClr w14:val="tx1"/>
            </w14:solidFill>
          </w14:textFill>
        </w:rPr>
        <w:t xml:space="preserve"> </w:t>
      </w:r>
    </w:p>
    <w:p w14:paraId="6F575AB3">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77" w:name="_Toc14395"/>
      <w:r>
        <w:rPr>
          <w:rFonts w:hint="eastAsia" w:ascii="仿宋" w:hAnsi="仿宋" w:cs="仿宋"/>
          <w:color w:val="000000" w:themeColor="text1"/>
          <w:highlight w:val="none"/>
          <w14:textFill>
            <w14:solidFill>
              <w14:schemeClr w14:val="tx1"/>
            </w14:solidFill>
          </w14:textFill>
        </w:rPr>
        <w:t>在争议解决期间，若该争议不影响本承诺书其他条款的履行，则该其他条款应继续履行。</w:t>
      </w:r>
      <w:bookmarkEnd w:id="477"/>
    </w:p>
    <w:p w14:paraId="05CF5BAB">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78" w:name="_Toc13732"/>
      <w:r>
        <w:rPr>
          <w:rFonts w:hint="eastAsia" w:ascii="仿宋" w:hAnsi="仿宋" w:cs="仿宋"/>
          <w:color w:val="000000" w:themeColor="text1"/>
          <w:highlight w:val="none"/>
          <w14:textFill>
            <w14:solidFill>
              <w14:schemeClr w14:val="tx1"/>
            </w14:solidFill>
          </w14:textFill>
        </w:rPr>
        <w:t>除另有约定外，我方指定本承诺书载明的地址为通讯及联系地址、我方确认有效的送达地址。送达地址适用范围包括本承诺书履行时各类通知、协议等文件以及就本承诺书发生争议时相关文件和法律文书的送达（包括但不限于仲裁、民事诉讼程序后的一审、管辖权异议及复议、二审、再审、发回重审和执行等诉讼阶段所有程序，法律文书包括但不限于各类通知书、仲裁裁决书、判决书、裁定书、调解书等）。</w:t>
      </w:r>
      <w:bookmarkEnd w:id="478"/>
    </w:p>
    <w:p w14:paraId="12CF02AE">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79" w:name="_Toc25710"/>
      <w:r>
        <w:rPr>
          <w:rFonts w:hint="eastAsia" w:ascii="仿宋" w:hAnsi="仿宋" w:cs="仿宋"/>
          <w:color w:val="000000" w:themeColor="text1"/>
          <w:highlight w:val="none"/>
          <w14:textFill>
            <w14:solidFill>
              <w14:schemeClr w14:val="tx1"/>
            </w14:solidFill>
          </w14:textFill>
        </w:rPr>
        <w:t>我方同意，贵行或仲裁机构、法院可通过本承诺书中填写的我方电话号码（短信），以电子送达方式向我方送达相关文件和法律文书。</w:t>
      </w:r>
      <w:bookmarkEnd w:id="479"/>
    </w:p>
    <w:p w14:paraId="5F522996">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80" w:name="_Toc2033"/>
      <w:r>
        <w:rPr>
          <w:rFonts w:hint="eastAsia" w:ascii="仿宋" w:hAnsi="仿宋" w:cs="仿宋"/>
          <w:color w:val="000000" w:themeColor="text1"/>
          <w:highlight w:val="none"/>
          <w14:textFill>
            <w14:solidFill>
              <w14:schemeClr w14:val="tx1"/>
            </w14:solidFill>
          </w14:textFill>
        </w:rPr>
        <w:t>同时约定送达地址及电子送达方式的，送达到本承诺书中填写的指定地址与电子送达具有同等法律效力。就同一事项或法律文件采取多种方式送达的，均具有送达效力，以最先送达日为送达之日。</w:t>
      </w:r>
      <w:bookmarkEnd w:id="480"/>
    </w:p>
    <w:p w14:paraId="7648708D">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81" w:name="_Toc24305"/>
      <w:r>
        <w:rPr>
          <w:rFonts w:hint="eastAsia" w:ascii="仿宋" w:hAnsi="仿宋" w:cs="仿宋"/>
          <w:color w:val="000000" w:themeColor="text1"/>
          <w:highlight w:val="none"/>
          <w14:textFill>
            <w14:solidFill>
              <w14:schemeClr w14:val="tx1"/>
            </w14:solidFill>
          </w14:textFill>
        </w:rPr>
        <w:t>上述地址或方式如有变更，我方将提前____个工作日以书面形式告知贵行变更后的地址、方式。在仲裁及民事诉讼程序中，我方地址或方式变更时应当向仲裁机构、法院履行送达地址或方式变更通知义务。我方未按前述方式履行通知义务，则我方在本承诺书所确认的送达地址或方式仍视为有效送达地址或方式。</w:t>
      </w:r>
      <w:bookmarkEnd w:id="481"/>
    </w:p>
    <w:p w14:paraId="58886337">
      <w:pPr>
        <w:spacing w:line="360" w:lineRule="auto"/>
        <w:ind w:firstLine="480" w:firstLineChars="200"/>
        <w:outlineLvl w:val="2"/>
        <w:rPr>
          <w:rFonts w:ascii="仿宋" w:hAnsi="仿宋" w:cs="仿宋"/>
          <w:color w:val="000000" w:themeColor="text1"/>
          <w:highlight w:val="none"/>
          <w14:textFill>
            <w14:solidFill>
              <w14:schemeClr w14:val="tx1"/>
            </w14:solidFill>
          </w14:textFill>
        </w:rPr>
      </w:pPr>
      <w:bookmarkStart w:id="482" w:name="_Toc25031"/>
      <w:r>
        <w:rPr>
          <w:rFonts w:hint="eastAsia" w:ascii="仿宋" w:hAnsi="仿宋" w:cs="仿宋"/>
          <w:color w:val="000000" w:themeColor="text1"/>
          <w:highlight w:val="none"/>
          <w14:textFill>
            <w14:solidFill>
              <w14:schemeClr w14:val="tx1"/>
            </w14:solidFill>
          </w14:textFill>
        </w:rPr>
        <w:t>因我方提供或者确认的送达地址或方式不准确、送达地址或方式变更后未及时依程序告知贵行和法院、指定的接收人拒绝签收等原因，导致法律文书未能被贵行实际接收的，邮寄送达的，以文书退回之日视为送达之日；直接送达的，送达人当场在送达回证上记明情况之日视为送达之日；以电子方式送达的，自进入贵行的指定系统之日视为送达之日。</w:t>
      </w:r>
      <w:bookmarkEnd w:id="482"/>
    </w:p>
    <w:p w14:paraId="5B43A934">
      <w:pPr>
        <w:spacing w:line="360" w:lineRule="auto"/>
        <w:ind w:firstLine="480" w:firstLineChars="200"/>
        <w:rPr>
          <w:rFonts w:ascii="仿宋" w:hAnsi="仿宋" w:cs="仿宋"/>
          <w:b/>
          <w:bCs/>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本款关于相关文件及法律文书的送达地址所作的约定，为本承诺书中独立存在的有关有效送达地址的确认的条款；如发生本承诺书全部或部分被确认无效或撤销等情形时，本款继续有效。。</w:t>
      </w:r>
    </w:p>
    <w:p w14:paraId="0487B121">
      <w:pPr>
        <w:spacing w:line="360" w:lineRule="auto"/>
        <w:ind w:firstLine="482" w:firstLineChars="200"/>
        <w:outlineLvl w:val="2"/>
        <w:rPr>
          <w:rFonts w:ascii="仿宋" w:hAnsi="仿宋" w:cs="仿宋"/>
          <w:b/>
          <w:bCs/>
          <w:color w:val="000000" w:themeColor="text1"/>
          <w:highlight w:val="none"/>
          <w14:textFill>
            <w14:solidFill>
              <w14:schemeClr w14:val="tx1"/>
            </w14:solidFill>
          </w14:textFill>
        </w:rPr>
      </w:pPr>
      <w:bookmarkStart w:id="483" w:name="_Toc150933665"/>
      <w:bookmarkStart w:id="484" w:name="_Toc2406"/>
      <w:bookmarkStart w:id="485" w:name="_Toc7281"/>
      <w:r>
        <w:rPr>
          <w:rFonts w:hint="eastAsia" w:ascii="仿宋" w:hAnsi="仿宋" w:cs="仿宋"/>
          <w:b/>
          <w:bCs/>
          <w:color w:val="000000" w:themeColor="text1"/>
          <w:highlight w:val="none"/>
          <w14:textFill>
            <w14:solidFill>
              <w14:schemeClr w14:val="tx1"/>
            </w14:solidFill>
          </w14:textFill>
        </w:rPr>
        <w:t>第九条 承诺书的有效期</w:t>
      </w:r>
      <w:bookmarkEnd w:id="483"/>
      <w:bookmarkEnd w:id="484"/>
      <w:bookmarkEnd w:id="485"/>
    </w:p>
    <w:p w14:paraId="0978B805">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本承诺书自我方法定代表人（或单位负责人）或授权签署人签署并加盖公章之日起生效，并一直保持有效。</w:t>
      </w:r>
    </w:p>
    <w:p w14:paraId="598B7D5B">
      <w:pPr>
        <w:spacing w:after="156" w:afterLines="50" w:line="400" w:lineRule="exact"/>
        <w:ind w:firstLine="424" w:firstLineChars="177"/>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p>
    <w:p w14:paraId="2B8C75A3">
      <w:pPr>
        <w:spacing w:after="156" w:afterLines="50" w:line="400" w:lineRule="exact"/>
        <w:ind w:firstLine="3414" w:firstLineChars="1417"/>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承诺方：</w:t>
      </w:r>
      <w:r>
        <w:rPr>
          <w:rFonts w:hint="eastAsia" w:ascii="仿宋" w:hAnsi="仿宋" w:cs="仿宋"/>
          <w:color w:val="000000" w:themeColor="text1"/>
          <w:highlight w:val="none"/>
          <w14:textFill>
            <w14:solidFill>
              <w14:schemeClr w14:val="tx1"/>
            </w14:solidFill>
          </w14:textFill>
        </w:rPr>
        <w:t>（盖章）</w:t>
      </w:r>
    </w:p>
    <w:p w14:paraId="12615E28">
      <w:pPr>
        <w:spacing w:after="156" w:afterLines="50" w:line="400" w:lineRule="exact"/>
        <w:ind w:firstLine="3400" w:firstLineChars="1417"/>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法定代表人（或单位负责人）（有权签字人）或（签署）</w:t>
      </w:r>
    </w:p>
    <w:p w14:paraId="65ACC5BA">
      <w:pPr>
        <w:spacing w:after="156" w:afterLines="50" w:line="400" w:lineRule="exact"/>
        <w:ind w:firstLine="3400" w:firstLineChars="1417"/>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授权签署人： </w:t>
      </w:r>
    </w:p>
    <w:p w14:paraId="1987D0F2">
      <w:pPr>
        <w:spacing w:after="156" w:afterLines="50" w:line="400" w:lineRule="exact"/>
        <w:ind w:firstLine="3400" w:firstLineChars="1417"/>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地址：                          </w:t>
      </w:r>
    </w:p>
    <w:p w14:paraId="1BCADE02">
      <w:pPr>
        <w:spacing w:after="156" w:afterLines="50" w:line="400" w:lineRule="exact"/>
        <w:ind w:firstLine="3400" w:firstLineChars="1417"/>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电话：</w:t>
      </w:r>
    </w:p>
    <w:p w14:paraId="15A8E538">
      <w:pPr>
        <w:spacing w:after="156" w:afterLines="50" w:line="400" w:lineRule="exact"/>
        <w:ind w:firstLine="3400" w:firstLineChars="1417"/>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日期：</w:t>
      </w:r>
    </w:p>
    <w:p w14:paraId="3C2E3704">
      <w:pPr>
        <w:spacing w:after="156" w:afterLines="50" w:line="400" w:lineRule="exact"/>
        <w:ind w:firstLine="3400" w:firstLineChars="1417"/>
        <w:rPr>
          <w:rFonts w:ascii="仿宋" w:hAnsi="仿宋" w:cs="仿宋"/>
          <w:color w:val="000000" w:themeColor="text1"/>
          <w:highlight w:val="none"/>
          <w14:textFill>
            <w14:solidFill>
              <w14:schemeClr w14:val="tx1"/>
            </w14:solidFill>
          </w14:textFill>
        </w:rPr>
      </w:pPr>
    </w:p>
    <w:p w14:paraId="270A2F2B">
      <w:pPr>
        <w:spacing w:after="156" w:afterLines="50" w:line="400" w:lineRule="exact"/>
        <w:ind w:firstLine="3400" w:firstLineChars="1417"/>
        <w:rPr>
          <w:rFonts w:ascii="仿宋" w:hAnsi="仿宋" w:cs="仿宋"/>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highlight w:val="none"/>
          <w14:textFill>
            <w14:solidFill>
              <w14:schemeClr w14:val="tx1"/>
            </w14:solidFill>
          </w14:textFill>
        </w:rPr>
        <w:t xml:space="preserve"> </w:t>
      </w:r>
      <w:bookmarkStart w:id="486" w:name="_Toc150933666"/>
      <w:bookmarkStart w:id="487" w:name="_Toc149230437"/>
      <w:bookmarkStart w:id="488" w:name="_Toc108796184"/>
    </w:p>
    <w:p w14:paraId="5000E824">
      <w:pPr>
        <w:outlineLvl w:val="0"/>
        <w:rPr>
          <w:rStyle w:val="62"/>
          <w:rFonts w:ascii="仿宋" w:hAnsi="仿宋" w:eastAsia="仿宋" w:cs="仿宋"/>
          <w:bCs w:val="0"/>
          <w:color w:val="000000" w:themeColor="text1"/>
          <w:sz w:val="24"/>
          <w:szCs w:val="24"/>
          <w:highlight w:val="none"/>
          <w14:textFill>
            <w14:solidFill>
              <w14:schemeClr w14:val="tx1"/>
            </w14:solidFill>
          </w14:textFill>
        </w:rPr>
      </w:pPr>
      <w:bookmarkStart w:id="489" w:name="_Toc108796186"/>
      <w:bookmarkStart w:id="490" w:name="_Toc150933667"/>
      <w:bookmarkStart w:id="491" w:name="_Toc149230438"/>
      <w:bookmarkStart w:id="492" w:name="_Toc21219"/>
      <w:r>
        <w:rPr>
          <w:rStyle w:val="62"/>
          <w:rFonts w:hint="eastAsia" w:ascii="仿宋" w:hAnsi="仿宋" w:eastAsia="仿宋" w:cs="仿宋"/>
          <w:bCs w:val="0"/>
          <w:color w:val="000000" w:themeColor="text1"/>
          <w:sz w:val="24"/>
          <w:szCs w:val="24"/>
          <w:highlight w:val="none"/>
          <w14:textFill>
            <w14:solidFill>
              <w14:schemeClr w14:val="tx1"/>
            </w14:solidFill>
          </w14:textFill>
        </w:rPr>
        <w:t>附件</w:t>
      </w:r>
      <w:bookmarkEnd w:id="489"/>
      <w:r>
        <w:rPr>
          <w:rStyle w:val="62"/>
          <w:rFonts w:ascii="仿宋" w:hAnsi="仿宋" w:eastAsia="仿宋" w:cs="仿宋"/>
          <w:bCs w:val="0"/>
          <w:color w:val="000000" w:themeColor="text1"/>
          <w:sz w:val="24"/>
          <w:szCs w:val="24"/>
          <w:highlight w:val="none"/>
          <w14:textFill>
            <w14:solidFill>
              <w14:schemeClr w14:val="tx1"/>
            </w14:solidFill>
          </w14:textFill>
        </w:rPr>
        <w:t>8</w:t>
      </w:r>
      <w:r>
        <w:rPr>
          <w:rStyle w:val="62"/>
          <w:rFonts w:hint="eastAsia" w:ascii="仿宋" w:hAnsi="仿宋" w:eastAsia="仿宋" w:cs="仿宋"/>
          <w:bCs w:val="0"/>
          <w:color w:val="000000" w:themeColor="text1"/>
          <w:sz w:val="24"/>
          <w:szCs w:val="24"/>
          <w:highlight w:val="none"/>
          <w14:textFill>
            <w14:solidFill>
              <w14:schemeClr w14:val="tx1"/>
            </w14:solidFill>
          </w14:textFill>
        </w:rPr>
        <w:t xml:space="preserve"> 优于采购需求的承诺</w:t>
      </w:r>
      <w:bookmarkEnd w:id="490"/>
      <w:bookmarkEnd w:id="491"/>
      <w:bookmarkEnd w:id="492"/>
    </w:p>
    <w:p w14:paraId="64280519">
      <w:pPr>
        <w:pStyle w:val="15"/>
        <w:spacing w:line="360" w:lineRule="auto"/>
        <w:outlineLvl w:val="1"/>
        <w:rPr>
          <w:rFonts w:ascii="仿宋" w:hAnsi="仿宋" w:cs="仿宋"/>
          <w:b/>
          <w:bCs/>
          <w:color w:val="000000" w:themeColor="text1"/>
          <w:highlight w:val="none"/>
          <w14:textFill>
            <w14:solidFill>
              <w14:schemeClr w14:val="tx1"/>
            </w14:solidFill>
          </w14:textFill>
        </w:rPr>
      </w:pPr>
    </w:p>
    <w:p w14:paraId="76842BC6">
      <w:pPr>
        <w:spacing w:line="360" w:lineRule="auto"/>
        <w:ind w:left="-1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项目名称：</w:t>
      </w:r>
    </w:p>
    <w:p w14:paraId="612393CE">
      <w:pPr>
        <w:spacing w:line="360" w:lineRule="auto"/>
        <w:ind w:left="-1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项目项目编号：</w:t>
      </w:r>
    </w:p>
    <w:p w14:paraId="393DDAA3">
      <w:pPr>
        <w:spacing w:line="360" w:lineRule="auto"/>
        <w:ind w:firstLine="480" w:firstLineChars="200"/>
        <w:rPr>
          <w:rFonts w:ascii="仿宋" w:hAnsi="仿宋" w:cs="仿宋"/>
          <w:color w:val="000000" w:themeColor="text1"/>
          <w:szCs w:val="20"/>
          <w:highlight w:val="none"/>
          <w14:textFill>
            <w14:solidFill>
              <w14:schemeClr w14:val="tx1"/>
            </w14:solidFill>
          </w14:textFill>
        </w:rPr>
      </w:pPr>
      <w:r>
        <w:rPr>
          <w:rFonts w:hint="eastAsia" w:ascii="仿宋" w:hAnsi="仿宋" w:cs="仿宋"/>
          <w:color w:val="000000" w:themeColor="text1"/>
          <w:szCs w:val="20"/>
          <w:highlight w:val="none"/>
          <w14:textFill>
            <w14:solidFill>
              <w14:schemeClr w14:val="tx1"/>
            </w14:solidFill>
          </w14:textFill>
        </w:rPr>
        <w:t>我公司承诺严格遵守XX</w:t>
      </w:r>
      <w:r>
        <w:rPr>
          <w:rFonts w:hint="eastAsia" w:ascii="仿宋" w:hAnsi="仿宋" w:cs="仿宋"/>
          <w:color w:val="000000" w:themeColor="text1"/>
          <w:highlight w:val="none"/>
          <w14:textFill>
            <w14:solidFill>
              <w14:schemeClr w14:val="tx1"/>
            </w14:solidFill>
          </w14:textFill>
        </w:rPr>
        <w:t>项目招标</w:t>
      </w:r>
      <w:r>
        <w:rPr>
          <w:rFonts w:hint="eastAsia" w:ascii="仿宋" w:hAnsi="仿宋" w:cs="仿宋"/>
          <w:color w:val="000000" w:themeColor="text1"/>
          <w:szCs w:val="20"/>
          <w:highlight w:val="none"/>
          <w14:textFill>
            <w14:solidFill>
              <w14:schemeClr w14:val="tx1"/>
            </w14:solidFill>
          </w14:textFill>
        </w:rPr>
        <w:t xml:space="preserve">文件（项目编号：》第四章《合同主要条款及格式》和第五章《采购需求书》中全部服务要求，在此基础上，优于采购需求的承诺内容如下： </w:t>
      </w:r>
    </w:p>
    <w:p w14:paraId="43FBDD0A">
      <w:pPr>
        <w:rPr>
          <w:rFonts w:ascii="仿宋" w:hAnsi="仿宋" w:cs="仿宋"/>
          <w:color w:val="000000" w:themeColor="text1"/>
          <w:sz w:val="18"/>
          <w:szCs w:val="20"/>
          <w:highlight w:val="none"/>
          <w14:textFill>
            <w14:solidFill>
              <w14:schemeClr w14:val="tx1"/>
            </w14:solidFill>
          </w14:textFill>
        </w:rPr>
      </w:pPr>
    </w:p>
    <w:tbl>
      <w:tblPr>
        <w:tblStyle w:val="3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111"/>
        <w:gridCol w:w="3985"/>
        <w:gridCol w:w="1486"/>
      </w:tblGrid>
      <w:tr w14:paraId="4AC6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3BB86A40">
            <w:pPr>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序号</w:t>
            </w:r>
          </w:p>
        </w:tc>
        <w:tc>
          <w:tcPr>
            <w:tcW w:w="2111" w:type="dxa"/>
            <w:vAlign w:val="center"/>
          </w:tcPr>
          <w:p w14:paraId="5DE28DF4">
            <w:pPr>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承诺事宜</w:t>
            </w:r>
          </w:p>
        </w:tc>
        <w:tc>
          <w:tcPr>
            <w:tcW w:w="3985" w:type="dxa"/>
            <w:vAlign w:val="center"/>
          </w:tcPr>
          <w:p w14:paraId="125351A4">
            <w:pPr>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内容说明</w:t>
            </w:r>
          </w:p>
        </w:tc>
        <w:tc>
          <w:tcPr>
            <w:tcW w:w="1486" w:type="dxa"/>
            <w:vAlign w:val="center"/>
          </w:tcPr>
          <w:p w14:paraId="109D305A">
            <w:pPr>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备注</w:t>
            </w:r>
          </w:p>
        </w:tc>
      </w:tr>
      <w:tr w14:paraId="720B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457D8B4E">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1</w:t>
            </w:r>
          </w:p>
        </w:tc>
        <w:tc>
          <w:tcPr>
            <w:tcW w:w="2111" w:type="dxa"/>
            <w:vAlign w:val="center"/>
          </w:tcPr>
          <w:p w14:paraId="512571D5">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47FC05F9">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709C649E">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20A7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769C7693">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2</w:t>
            </w:r>
          </w:p>
        </w:tc>
        <w:tc>
          <w:tcPr>
            <w:tcW w:w="2111" w:type="dxa"/>
            <w:vAlign w:val="center"/>
          </w:tcPr>
          <w:p w14:paraId="453B31EF">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402A19D0">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6A76D120">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03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22A4AF25">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3</w:t>
            </w:r>
          </w:p>
        </w:tc>
        <w:tc>
          <w:tcPr>
            <w:tcW w:w="2111" w:type="dxa"/>
            <w:vAlign w:val="center"/>
          </w:tcPr>
          <w:p w14:paraId="7F703F32">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08DF1C50">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40293EF5">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4141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0DC74802">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4</w:t>
            </w:r>
          </w:p>
        </w:tc>
        <w:tc>
          <w:tcPr>
            <w:tcW w:w="2111" w:type="dxa"/>
            <w:vAlign w:val="center"/>
          </w:tcPr>
          <w:p w14:paraId="389FC1B3">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5B0F4E7B">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20009239">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1D6A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535FA18C">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5</w:t>
            </w:r>
          </w:p>
        </w:tc>
        <w:tc>
          <w:tcPr>
            <w:tcW w:w="2111" w:type="dxa"/>
            <w:vAlign w:val="center"/>
          </w:tcPr>
          <w:p w14:paraId="1816AB93">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2C82480E">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4CCB4189">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444E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2A758C41">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6</w:t>
            </w:r>
          </w:p>
        </w:tc>
        <w:tc>
          <w:tcPr>
            <w:tcW w:w="2111" w:type="dxa"/>
            <w:vAlign w:val="center"/>
          </w:tcPr>
          <w:p w14:paraId="72C63ED8">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5E0511E5">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2EDB3479">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781B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1363223E">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7</w:t>
            </w:r>
          </w:p>
        </w:tc>
        <w:tc>
          <w:tcPr>
            <w:tcW w:w="2111" w:type="dxa"/>
            <w:vAlign w:val="center"/>
          </w:tcPr>
          <w:p w14:paraId="5C04651C">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3CA0B55C">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6FA5FCF4">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5162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098346D5">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8</w:t>
            </w:r>
          </w:p>
        </w:tc>
        <w:tc>
          <w:tcPr>
            <w:tcW w:w="2111" w:type="dxa"/>
            <w:vAlign w:val="center"/>
          </w:tcPr>
          <w:p w14:paraId="2D5992C1">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6922B438">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4D727BEE">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1E4D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30FA1A59">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9</w:t>
            </w:r>
          </w:p>
        </w:tc>
        <w:tc>
          <w:tcPr>
            <w:tcW w:w="2111" w:type="dxa"/>
            <w:vAlign w:val="center"/>
          </w:tcPr>
          <w:p w14:paraId="3BEF17BC">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5A636E23">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2A2EA7FE">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7A8A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7A7C6FB4">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10</w:t>
            </w:r>
          </w:p>
        </w:tc>
        <w:tc>
          <w:tcPr>
            <w:tcW w:w="2111" w:type="dxa"/>
            <w:vAlign w:val="center"/>
          </w:tcPr>
          <w:p w14:paraId="5543D6FB">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60B78235">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27131203">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2727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5E1546FA">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11</w:t>
            </w:r>
          </w:p>
        </w:tc>
        <w:tc>
          <w:tcPr>
            <w:tcW w:w="2111" w:type="dxa"/>
            <w:vAlign w:val="center"/>
          </w:tcPr>
          <w:p w14:paraId="278A8021">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7813528A">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57BF096E">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r w14:paraId="147C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14:paraId="6F6007A4">
            <w:pPr>
              <w:spacing w:line="480" w:lineRule="auto"/>
              <w:ind w:left="480" w:hanging="480"/>
              <w:jc w:val="center"/>
              <w:rPr>
                <w:rFonts w:ascii="仿宋" w:hAnsi="仿宋" w:cs="仿宋"/>
                <w:b/>
                <w:color w:val="000000" w:themeColor="text1"/>
                <w:szCs w:val="20"/>
                <w:highlight w:val="none"/>
                <w14:textFill>
                  <w14:solidFill>
                    <w14:schemeClr w14:val="tx1"/>
                  </w14:solidFill>
                </w14:textFill>
              </w:rPr>
            </w:pPr>
            <w:r>
              <w:rPr>
                <w:rFonts w:hint="eastAsia" w:ascii="仿宋" w:hAnsi="仿宋" w:cs="仿宋"/>
                <w:b/>
                <w:color w:val="000000" w:themeColor="text1"/>
                <w:szCs w:val="20"/>
                <w:highlight w:val="none"/>
                <w14:textFill>
                  <w14:solidFill>
                    <w14:schemeClr w14:val="tx1"/>
                  </w14:solidFill>
                </w14:textFill>
              </w:rPr>
              <w:t>12</w:t>
            </w:r>
          </w:p>
        </w:tc>
        <w:tc>
          <w:tcPr>
            <w:tcW w:w="2111" w:type="dxa"/>
            <w:vAlign w:val="center"/>
          </w:tcPr>
          <w:p w14:paraId="39527CF8">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3985" w:type="dxa"/>
            <w:vAlign w:val="center"/>
          </w:tcPr>
          <w:p w14:paraId="0D262DAC">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c>
          <w:tcPr>
            <w:tcW w:w="1486" w:type="dxa"/>
            <w:vAlign w:val="center"/>
          </w:tcPr>
          <w:p w14:paraId="0706657C">
            <w:pPr>
              <w:spacing w:line="480" w:lineRule="auto"/>
              <w:ind w:left="480" w:hanging="480"/>
              <w:jc w:val="center"/>
              <w:rPr>
                <w:rFonts w:ascii="仿宋" w:hAnsi="仿宋" w:cs="仿宋"/>
                <w:color w:val="000000" w:themeColor="text1"/>
                <w:szCs w:val="20"/>
                <w:highlight w:val="none"/>
                <w14:textFill>
                  <w14:solidFill>
                    <w14:schemeClr w14:val="tx1"/>
                  </w14:solidFill>
                </w14:textFill>
              </w:rPr>
            </w:pPr>
          </w:p>
        </w:tc>
      </w:tr>
    </w:tbl>
    <w:p w14:paraId="25567654">
      <w:pPr>
        <w:spacing w:line="480" w:lineRule="auto"/>
        <w:rPr>
          <w:rFonts w:ascii="仿宋" w:hAnsi="仿宋" w:cs="仿宋"/>
          <w:color w:val="000000" w:themeColor="text1"/>
          <w:szCs w:val="20"/>
          <w:highlight w:val="none"/>
          <w14:textFill>
            <w14:solidFill>
              <w14:schemeClr w14:val="tx1"/>
            </w14:solidFill>
          </w14:textFill>
        </w:rPr>
      </w:pPr>
    </w:p>
    <w:p w14:paraId="41ABA1B6">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0116A22F">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投标人授权代表签字：</w:t>
      </w:r>
      <w:r>
        <w:rPr>
          <w:rFonts w:hint="eastAsia" w:ascii="仿宋" w:hAnsi="仿宋" w:cs="仿宋"/>
          <w:color w:val="000000" w:themeColor="text1"/>
          <w:highlight w:val="none"/>
          <w:u w:val="single"/>
          <w14:textFill>
            <w14:solidFill>
              <w14:schemeClr w14:val="tx1"/>
            </w14:solidFill>
          </w14:textFill>
        </w:rPr>
        <w:t xml:space="preserve">                        </w:t>
      </w:r>
    </w:p>
    <w:p w14:paraId="1D84EAB4">
      <w:pPr>
        <w:widowControl/>
        <w:spacing w:after="156" w:afterLines="50"/>
        <w:jc w:val="center"/>
        <w:rPr>
          <w:rFonts w:ascii="仿宋" w:hAnsi="仿宋" w:cs="仿宋"/>
          <w:b/>
          <w:bCs/>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BA342E2">
      <w:pPr>
        <w:outlineLvl w:val="0"/>
        <w:rPr>
          <w:rStyle w:val="62"/>
          <w:rFonts w:ascii="仿宋" w:hAnsi="仿宋" w:eastAsia="仿宋" w:cs="仿宋"/>
          <w:color w:val="000000" w:themeColor="text1"/>
          <w:sz w:val="24"/>
          <w:szCs w:val="24"/>
          <w:highlight w:val="none"/>
          <w14:textFill>
            <w14:solidFill>
              <w14:schemeClr w14:val="tx1"/>
            </w14:solidFill>
          </w14:textFill>
        </w:rPr>
      </w:pPr>
      <w:bookmarkStart w:id="493" w:name="_Toc108796191"/>
      <w:bookmarkStart w:id="494" w:name="_Toc150933671"/>
      <w:bookmarkStart w:id="495" w:name="_Toc6196"/>
      <w:bookmarkStart w:id="496" w:name="_Toc5809"/>
      <w:bookmarkStart w:id="497" w:name="_Toc11377"/>
      <w:bookmarkStart w:id="498" w:name="_Toc149230442"/>
      <w:r>
        <w:rPr>
          <w:rStyle w:val="62"/>
          <w:rFonts w:hint="eastAsia" w:ascii="仿宋" w:hAnsi="仿宋" w:eastAsia="仿宋" w:cs="仿宋"/>
          <w:color w:val="000000" w:themeColor="text1"/>
          <w:sz w:val="24"/>
          <w:szCs w:val="24"/>
          <w:highlight w:val="none"/>
          <w14:textFill>
            <w14:solidFill>
              <w14:schemeClr w14:val="tx1"/>
            </w14:solidFill>
          </w14:textFill>
        </w:rPr>
        <w:t>附件</w:t>
      </w:r>
      <w:r>
        <w:rPr>
          <w:rStyle w:val="62"/>
          <w:rFonts w:ascii="仿宋" w:hAnsi="仿宋" w:eastAsia="仿宋" w:cs="仿宋"/>
          <w:color w:val="000000" w:themeColor="text1"/>
          <w:sz w:val="24"/>
          <w:szCs w:val="24"/>
          <w:highlight w:val="none"/>
          <w14:textFill>
            <w14:solidFill>
              <w14:schemeClr w14:val="tx1"/>
            </w14:solidFill>
          </w14:textFill>
        </w:rPr>
        <w:t>9</w:t>
      </w:r>
      <w:r>
        <w:rPr>
          <w:rStyle w:val="62"/>
          <w:rFonts w:hint="eastAsia" w:ascii="仿宋" w:hAnsi="仿宋" w:eastAsia="仿宋" w:cs="仿宋"/>
          <w:color w:val="000000" w:themeColor="text1"/>
          <w:sz w:val="24"/>
          <w:szCs w:val="24"/>
          <w:highlight w:val="none"/>
          <w14:textFill>
            <w14:solidFill>
              <w14:schemeClr w14:val="tx1"/>
            </w14:solidFill>
          </w14:textFill>
        </w:rPr>
        <w:t xml:space="preserve"> 采购信息公开渠道社会披露承诺书</w:t>
      </w:r>
      <w:bookmarkEnd w:id="493"/>
      <w:bookmarkEnd w:id="494"/>
      <w:bookmarkEnd w:id="495"/>
      <w:bookmarkEnd w:id="496"/>
      <w:bookmarkEnd w:id="497"/>
      <w:bookmarkEnd w:id="498"/>
    </w:p>
    <w:p w14:paraId="608AA2BF">
      <w:pPr>
        <w:ind w:firstLine="480" w:firstLineChars="200"/>
        <w:rPr>
          <w:rFonts w:ascii="仿宋" w:hAnsi="仿宋" w:cs="仿宋"/>
          <w:color w:val="000000" w:themeColor="text1"/>
          <w:highlight w:val="none"/>
          <w:u w:val="single"/>
          <w14:textFill>
            <w14:solidFill>
              <w14:schemeClr w14:val="tx1"/>
            </w14:solidFill>
          </w14:textFill>
        </w:rPr>
      </w:pPr>
    </w:p>
    <w:p w14:paraId="3C600CD8">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按照《财政部关于印发&lt;国有金融企业集中采购管理暂行规定&gt;的通知》（财金【2018】9号）的要求，采购项目信息需通过企业网站、招标代理机构网站或省级以上人民政府财政部门指定的政府采购信息公开媒体等公开渠道向社会披露，涉及国家秘密、商业秘密的内容除外。采购项目信息披露内容包括：采购内容、采购方式、候选供应商、中选供应商、采购数量、采购价格（合同总价）等。 </w:t>
      </w:r>
    </w:p>
    <w:p w14:paraId="36239331">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我司已知悉并理解上述内容，经过评估，针对“</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”项目（招标编号：</w:t>
      </w:r>
      <w:r>
        <w:rPr>
          <w:rFonts w:hint="eastAsia" w:ascii="仿宋" w:hAnsi="仿宋" w:cs="仿宋"/>
          <w:color w:val="000000" w:themeColor="text1"/>
          <w:highlight w:val="none"/>
          <w:u w:val="single"/>
          <w14:textFill>
            <w14:solidFill>
              <w14:schemeClr w14:val="tx1"/>
            </w14:solidFill>
          </w14:textFill>
        </w:rPr>
        <w:t xml:space="preserve">      </w:t>
      </w:r>
      <w:r>
        <w:rPr>
          <w:rFonts w:hint="eastAsia" w:ascii="仿宋" w:hAnsi="仿宋" w:cs="仿宋"/>
          <w:color w:val="000000" w:themeColor="text1"/>
          <w:highlight w:val="none"/>
          <w14:textFill>
            <w14:solidFill>
              <w14:schemeClr w14:val="tx1"/>
            </w14:solidFill>
          </w14:textFill>
        </w:rPr>
        <w:t>）我司同意披露项目采购信息。</w:t>
      </w:r>
    </w:p>
    <w:p w14:paraId="15695496">
      <w:pPr>
        <w:spacing w:line="360" w:lineRule="auto"/>
        <w:ind w:firstLine="480" w:firstLineChars="200"/>
        <w:rPr>
          <w:rFonts w:ascii="仿宋" w:hAnsi="仿宋" w:cs="仿宋"/>
          <w:color w:val="000000" w:themeColor="text1"/>
          <w:highlight w:val="none"/>
          <w14:textFill>
            <w14:solidFill>
              <w14:schemeClr w14:val="tx1"/>
            </w14:solidFill>
          </w14:textFill>
        </w:rPr>
      </w:pPr>
    </w:p>
    <w:p w14:paraId="417038A5">
      <w:pPr>
        <w:spacing w:line="360" w:lineRule="auto"/>
        <w:ind w:firstLine="480" w:firstLineChars="200"/>
        <w:rPr>
          <w:rFonts w:ascii="仿宋" w:hAnsi="仿宋" w:cs="仿宋"/>
          <w:color w:val="000000" w:themeColor="text1"/>
          <w:highlight w:val="none"/>
          <w14:textFill>
            <w14:solidFill>
              <w14:schemeClr w14:val="tx1"/>
            </w14:solidFill>
          </w14:textFill>
        </w:rPr>
      </w:pPr>
    </w:p>
    <w:p w14:paraId="2A396E38">
      <w:pPr>
        <w:spacing w:line="36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64EDD003">
      <w:pPr>
        <w:spacing w:line="36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投标人授权代表签字：</w:t>
      </w:r>
      <w:r>
        <w:rPr>
          <w:rFonts w:hint="eastAsia" w:ascii="仿宋" w:hAnsi="仿宋" w:cs="仿宋"/>
          <w:color w:val="000000" w:themeColor="text1"/>
          <w:highlight w:val="none"/>
          <w:u w:val="single"/>
          <w14:textFill>
            <w14:solidFill>
              <w14:schemeClr w14:val="tx1"/>
            </w14:solidFill>
          </w14:textFill>
        </w:rPr>
        <w:t xml:space="preserve">                 </w:t>
      </w:r>
    </w:p>
    <w:p w14:paraId="4E43E30D">
      <w:pPr>
        <w:pStyle w:val="32"/>
        <w:tabs>
          <w:tab w:val="left" w:pos="8640"/>
        </w:tabs>
        <w:spacing w:after="0" w:line="360" w:lineRule="auto"/>
        <w:ind w:left="0" w:leftChars="0" w:firstLine="0" w:firstLineChars="0"/>
        <w:rPr>
          <w:rFonts w:ascii="仿宋" w:hAnsi="仿宋" w:cs="仿宋"/>
          <w:color w:val="000000" w:themeColor="text1"/>
          <w:highlight w:val="none"/>
          <w:u w:val="singl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 w:val="21"/>
          <w:szCs w:val="21"/>
          <w:highlight w:val="none"/>
          <w14:textFill>
            <w14:solidFill>
              <w14:schemeClr w14:val="tx1"/>
            </w14:solidFill>
          </w14:textFill>
        </w:rPr>
        <w:t>日期：</w:t>
      </w:r>
      <w:r>
        <w:rPr>
          <w:rFonts w:hint="eastAsia" w:ascii="仿宋" w:hAnsi="仿宋" w:cs="仿宋"/>
          <w:color w:val="000000" w:themeColor="text1"/>
          <w:sz w:val="21"/>
          <w:szCs w:val="21"/>
          <w:highlight w:val="none"/>
          <w:u w:val="single"/>
          <w14:textFill>
            <w14:solidFill>
              <w14:schemeClr w14:val="tx1"/>
            </w14:solidFill>
          </w14:textFill>
        </w:rPr>
        <w:t xml:space="preserve">                      </w:t>
      </w:r>
    </w:p>
    <w:p w14:paraId="5D673BAD">
      <w:pPr>
        <w:outlineLvl w:val="0"/>
        <w:rPr>
          <w:rStyle w:val="62"/>
          <w:rFonts w:ascii="仿宋" w:hAnsi="仿宋" w:eastAsia="仿宋" w:cs="仿宋"/>
          <w:color w:val="000000" w:themeColor="text1"/>
          <w:sz w:val="24"/>
          <w:szCs w:val="24"/>
          <w:highlight w:val="none"/>
          <w14:textFill>
            <w14:solidFill>
              <w14:schemeClr w14:val="tx1"/>
            </w14:solidFill>
          </w14:textFill>
        </w:rPr>
      </w:pPr>
      <w:bookmarkStart w:id="499" w:name="_Toc149230443"/>
      <w:bookmarkStart w:id="500" w:name="_Toc24957"/>
      <w:bookmarkStart w:id="501" w:name="_Toc27880"/>
      <w:bookmarkStart w:id="502" w:name="_Toc4529"/>
      <w:bookmarkStart w:id="503" w:name="_Toc24266"/>
      <w:bookmarkStart w:id="504" w:name="_Toc2153"/>
      <w:bookmarkStart w:id="505" w:name="_Toc22664"/>
      <w:bookmarkStart w:id="506" w:name="_Toc159"/>
      <w:bookmarkStart w:id="507" w:name="_Toc108796192"/>
      <w:bookmarkStart w:id="508" w:name="_Toc150933672"/>
      <w:r>
        <w:rPr>
          <w:rStyle w:val="62"/>
          <w:rFonts w:hint="eastAsia" w:ascii="仿宋" w:hAnsi="仿宋" w:eastAsia="仿宋" w:cs="仿宋"/>
          <w:color w:val="000000" w:themeColor="text1"/>
          <w:sz w:val="24"/>
          <w:szCs w:val="24"/>
          <w:highlight w:val="none"/>
          <w14:textFill>
            <w14:solidFill>
              <w14:schemeClr w14:val="tx1"/>
            </w14:solidFill>
          </w14:textFill>
        </w:rPr>
        <w:t>附件1</w:t>
      </w:r>
      <w:r>
        <w:rPr>
          <w:rStyle w:val="62"/>
          <w:rFonts w:ascii="仿宋" w:hAnsi="仿宋" w:eastAsia="仿宋" w:cs="仿宋"/>
          <w:color w:val="000000" w:themeColor="text1"/>
          <w:sz w:val="24"/>
          <w:szCs w:val="24"/>
          <w:highlight w:val="none"/>
          <w14:textFill>
            <w14:solidFill>
              <w14:schemeClr w14:val="tx1"/>
            </w14:solidFill>
          </w14:textFill>
        </w:rPr>
        <w:t>0</w:t>
      </w:r>
      <w:r>
        <w:rPr>
          <w:rStyle w:val="62"/>
          <w:rFonts w:hint="eastAsia" w:ascii="仿宋" w:hAnsi="仿宋" w:eastAsia="仿宋" w:cs="仿宋"/>
          <w:color w:val="000000" w:themeColor="text1"/>
          <w:sz w:val="24"/>
          <w:szCs w:val="24"/>
          <w:highlight w:val="none"/>
          <w14:textFill>
            <w14:solidFill>
              <w14:schemeClr w14:val="tx1"/>
            </w14:solidFill>
          </w14:textFill>
        </w:rPr>
        <w:t>中小企业规模类型告知函</w:t>
      </w:r>
      <w:bookmarkEnd w:id="499"/>
      <w:bookmarkEnd w:id="500"/>
      <w:bookmarkEnd w:id="501"/>
      <w:bookmarkEnd w:id="502"/>
      <w:bookmarkEnd w:id="503"/>
      <w:bookmarkEnd w:id="504"/>
      <w:bookmarkEnd w:id="505"/>
      <w:bookmarkEnd w:id="506"/>
      <w:bookmarkEnd w:id="507"/>
      <w:bookmarkEnd w:id="508"/>
    </w:p>
    <w:p w14:paraId="4B61AB56">
      <w:pPr>
        <w:rPr>
          <w:rStyle w:val="62"/>
          <w:rFonts w:ascii="仿宋" w:hAnsi="仿宋" w:eastAsia="仿宋" w:cs="仿宋"/>
          <w:color w:val="000000" w:themeColor="text1"/>
          <w:sz w:val="36"/>
          <w:szCs w:val="36"/>
          <w:highlight w:val="none"/>
          <w14:textFill>
            <w14:solidFill>
              <w14:schemeClr w14:val="tx1"/>
            </w14:solidFill>
          </w14:textFill>
        </w:rPr>
      </w:pPr>
    </w:p>
    <w:p w14:paraId="1015E73F">
      <w:pPr>
        <w:snapToGrid w:val="0"/>
        <w:spacing w:line="360" w:lineRule="auto"/>
        <w:rPr>
          <w:rFonts w:ascii="仿宋" w:hAnsi="仿宋" w:cs="仿宋"/>
          <w:b/>
          <w:color w:val="000000" w:themeColor="text1"/>
          <w:highlight w:val="none"/>
          <w:u w:val="singl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致：</w:t>
      </w:r>
      <w:r>
        <w:rPr>
          <w:rFonts w:hint="eastAsia" w:ascii="仿宋" w:hAnsi="仿宋" w:cs="仿宋"/>
          <w:b/>
          <w:color w:val="000000" w:themeColor="text1"/>
          <w:highlight w:val="none"/>
          <w:u w:val="single"/>
          <w14:textFill>
            <w14:solidFill>
              <w14:schemeClr w14:val="tx1"/>
            </w14:solidFill>
          </w14:textFill>
        </w:rPr>
        <w:t>中国银行股份有限公司</w:t>
      </w:r>
      <w:r>
        <w:rPr>
          <w:rFonts w:hint="eastAsia" w:ascii="仿宋" w:hAnsi="仿宋" w:cs="仿宋"/>
          <w:b/>
          <w:color w:val="000000" w:themeColor="text1"/>
          <w:highlight w:val="none"/>
          <w:u w:val="single"/>
          <w:lang w:eastAsia="zh-CN"/>
          <w14:textFill>
            <w14:solidFill>
              <w14:schemeClr w14:val="tx1"/>
            </w14:solidFill>
          </w14:textFill>
        </w:rPr>
        <w:t>青海省分行</w:t>
      </w:r>
    </w:p>
    <w:p w14:paraId="6B937B42">
      <w:pPr>
        <w:snapToGrid w:val="0"/>
        <w:spacing w:line="360" w:lineRule="auto"/>
        <w:rPr>
          <w:rFonts w:ascii="仿宋" w:hAnsi="仿宋" w:cs="仿宋"/>
          <w:b/>
          <w:color w:val="000000" w:themeColor="text1"/>
          <w:highlight w:val="none"/>
          <w14:textFill>
            <w14:solidFill>
              <w14:schemeClr w14:val="tx1"/>
            </w14:solidFill>
          </w14:textFill>
        </w:rPr>
      </w:pPr>
    </w:p>
    <w:p w14:paraId="72120734">
      <w:pPr>
        <w:snapToGrid w:val="0"/>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根据工业和信息化部、国家统计局、国家发展改革委、财政部《关于印发中小企业划型标准规定的通知》（工信部联企业【2011】300号）的规定，我单位</w:t>
      </w:r>
      <w:r>
        <w:rPr>
          <w:rFonts w:hint="eastAsia" w:ascii="仿宋" w:hAnsi="仿宋" w:cs="仿宋"/>
          <w:color w:val="000000" w:themeColor="text1"/>
          <w:highlight w:val="none"/>
          <w:u w:val="single"/>
          <w14:textFill>
            <w14:solidFill>
              <w14:schemeClr w14:val="tx1"/>
            </w14:solidFill>
          </w14:textFill>
        </w:rPr>
        <w:t>□是</w:t>
      </w:r>
      <w:r>
        <w:rPr>
          <w:rFonts w:hint="eastAsia" w:ascii="仿宋" w:hAnsi="仿宋" w:cs="仿宋"/>
          <w:color w:val="000000" w:themeColor="text1"/>
          <w:highlight w:val="none"/>
          <w14:textFill>
            <w14:solidFill>
              <w14:schemeClr w14:val="tx1"/>
            </w14:solidFill>
          </w14:textFill>
        </w:rPr>
        <w:t>/</w:t>
      </w:r>
      <w:r>
        <w:rPr>
          <w:rFonts w:hint="eastAsia" w:ascii="仿宋" w:hAnsi="仿宋" w:cs="仿宋"/>
          <w:color w:val="000000" w:themeColor="text1"/>
          <w:highlight w:val="none"/>
          <w:u w:val="single"/>
          <w14:textFill>
            <w14:solidFill>
              <w14:schemeClr w14:val="tx1"/>
            </w14:solidFill>
          </w14:textFill>
        </w:rPr>
        <w:t>□不是</w:t>
      </w:r>
      <w:r>
        <w:rPr>
          <w:rFonts w:hint="eastAsia" w:ascii="仿宋" w:hAnsi="仿宋" w:cs="仿宋"/>
          <w:color w:val="000000" w:themeColor="text1"/>
          <w:highlight w:val="none"/>
          <w14:textFill>
            <w14:solidFill>
              <w14:schemeClr w14:val="tx1"/>
            </w14:solidFill>
          </w14:textFill>
        </w:rPr>
        <w:t>中小企业。</w:t>
      </w:r>
    </w:p>
    <w:p w14:paraId="7C087790">
      <w:pPr>
        <w:snapToGrid w:val="0"/>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特此告知。</w:t>
      </w:r>
    </w:p>
    <w:p w14:paraId="5E16D825">
      <w:pPr>
        <w:snapToGrid w:val="0"/>
        <w:spacing w:line="360" w:lineRule="auto"/>
        <w:ind w:firstLine="480" w:firstLineChars="200"/>
        <w:rPr>
          <w:rFonts w:ascii="仿宋" w:hAnsi="仿宋" w:cs="仿宋"/>
          <w:color w:val="000000" w:themeColor="text1"/>
          <w:highlight w:val="none"/>
          <w14:textFill>
            <w14:solidFill>
              <w14:schemeClr w14:val="tx1"/>
            </w14:solidFill>
          </w14:textFill>
        </w:rPr>
      </w:pPr>
    </w:p>
    <w:p w14:paraId="76385CFA">
      <w:pPr>
        <w:snapToGrid w:val="0"/>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附：工业和信息化部“中小企业规模类型自测小程序”测算结果的截屏打印件</w:t>
      </w:r>
    </w:p>
    <w:p w14:paraId="6DD31C48">
      <w:pPr>
        <w:snapToGrid w:val="0"/>
        <w:spacing w:line="360" w:lineRule="auto"/>
        <w:ind w:firstLine="480" w:firstLineChars="200"/>
        <w:rPr>
          <w:rFonts w:ascii="仿宋" w:hAnsi="仿宋" w:cs="仿宋"/>
          <w:color w:val="000000" w:themeColor="text1"/>
          <w:highlight w:val="none"/>
          <w14:textFill>
            <w14:solidFill>
              <w14:schemeClr w14:val="tx1"/>
            </w14:solidFill>
          </w14:textFill>
        </w:rPr>
      </w:pPr>
    </w:p>
    <w:p w14:paraId="5A8C0603">
      <w:pPr>
        <w:spacing w:line="480" w:lineRule="auto"/>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r>
        <w:rPr>
          <w:rFonts w:hint="eastAsia" w:ascii="仿宋" w:hAnsi="仿宋" w:cs="仿宋"/>
          <w:b/>
          <w:color w:val="000000" w:themeColor="text1"/>
          <w:highlight w:val="none"/>
          <w14:textFill>
            <w14:solidFill>
              <w14:schemeClr w14:val="tx1"/>
            </w14:solidFill>
          </w14:textFill>
        </w:rPr>
        <w:t xml:space="preserve"> </w:t>
      </w:r>
    </w:p>
    <w:p w14:paraId="531FD7CD">
      <w:pPr>
        <w:spacing w:line="480" w:lineRule="auto"/>
        <w:jc w:val="left"/>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1C3FFDE0">
      <w:pPr>
        <w:spacing w:line="480" w:lineRule="auto"/>
        <w:jc w:val="left"/>
        <w:rPr>
          <w:rFonts w:ascii="仿宋" w:hAnsi="仿宋" w:cs="仿宋"/>
          <w:color w:val="000000" w:themeColor="text1"/>
          <w:highlight w:val="none"/>
          <w14:textFill>
            <w14:solidFill>
              <w14:schemeClr w14:val="tx1"/>
            </w14:solidFill>
          </w14:textFill>
        </w:rPr>
      </w:pPr>
    </w:p>
    <w:p w14:paraId="2A15A695">
      <w:pPr>
        <w:spacing w:line="480" w:lineRule="auto"/>
        <w:jc w:val="left"/>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投标人代表签字：</w:t>
      </w:r>
      <w:r>
        <w:rPr>
          <w:rFonts w:hint="eastAsia" w:ascii="仿宋" w:hAnsi="仿宋" w:cs="仿宋"/>
          <w:color w:val="000000" w:themeColor="text1"/>
          <w:highlight w:val="none"/>
          <w:u w:val="single"/>
          <w14:textFill>
            <w14:solidFill>
              <w14:schemeClr w14:val="tx1"/>
            </w14:solidFill>
          </w14:textFill>
        </w:rPr>
        <w:t xml:space="preserve">                        </w:t>
      </w:r>
    </w:p>
    <w:p w14:paraId="37BC239E">
      <w:pPr>
        <w:spacing w:line="480" w:lineRule="auto"/>
        <w:jc w:val="left"/>
        <w:rPr>
          <w:rFonts w:ascii="仿宋" w:hAnsi="仿宋" w:cs="仿宋"/>
          <w:color w:val="000000" w:themeColor="text1"/>
          <w:highlight w:val="none"/>
          <w:u w:val="single"/>
          <w14:textFill>
            <w14:solidFill>
              <w14:schemeClr w14:val="tx1"/>
            </w14:solidFill>
          </w14:textFill>
        </w:rPr>
      </w:pPr>
    </w:p>
    <w:p w14:paraId="08C76861">
      <w:pPr>
        <w:spacing w:line="480" w:lineRule="auto"/>
        <w:jc w:val="left"/>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日期：</w:t>
      </w:r>
      <w:r>
        <w:rPr>
          <w:rFonts w:hint="eastAsia" w:ascii="仿宋" w:hAnsi="仿宋" w:cs="仿宋"/>
          <w:color w:val="000000" w:themeColor="text1"/>
          <w:highlight w:val="none"/>
          <w:u w:val="single"/>
          <w14:textFill>
            <w14:solidFill>
              <w14:schemeClr w14:val="tx1"/>
            </w14:solidFill>
          </w14:textFill>
        </w:rPr>
        <w:t xml:space="preserve">                        </w:t>
      </w:r>
    </w:p>
    <w:p w14:paraId="77FDB66E">
      <w:pPr>
        <w:snapToGrid w:val="0"/>
        <w:spacing w:line="360" w:lineRule="auto"/>
        <w:rPr>
          <w:rFonts w:ascii="仿宋" w:hAnsi="仿宋" w:cs="仿宋"/>
          <w:color w:val="000000" w:themeColor="text1"/>
          <w:highlight w:val="none"/>
          <w14:textFill>
            <w14:solidFill>
              <w14:schemeClr w14:val="tx1"/>
            </w14:solidFill>
          </w14:textFill>
        </w:rPr>
      </w:pPr>
    </w:p>
    <w:p w14:paraId="5556ED49">
      <w:pPr>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备注：须同时附上在“中小企业规模类型自测小程序”的查询截图。</w:t>
      </w:r>
    </w:p>
    <w:p w14:paraId="5F11BCE3">
      <w:pPr>
        <w:snapToGrid w:val="0"/>
        <w:spacing w:line="360" w:lineRule="auto"/>
        <w:rPr>
          <w:rFonts w:ascii="仿宋" w:hAnsi="仿宋" w:cs="仿宋"/>
          <w:color w:val="000000" w:themeColor="text1"/>
          <w:highlight w:val="none"/>
          <w14:textFill>
            <w14:solidFill>
              <w14:schemeClr w14:val="tx1"/>
            </w14:solidFill>
          </w14:textFill>
        </w:rPr>
      </w:pPr>
    </w:p>
    <w:p w14:paraId="5257AD65">
      <w:pPr>
        <w:snapToGrid w:val="0"/>
        <w:spacing w:line="360" w:lineRule="auto"/>
        <w:rPr>
          <w:rFonts w:ascii="仿宋" w:hAnsi="仿宋" w:cs="仿宋"/>
          <w:color w:val="000000" w:themeColor="text1"/>
          <w:highlight w:val="none"/>
          <w14:textFill>
            <w14:solidFill>
              <w14:schemeClr w14:val="tx1"/>
            </w14:solidFill>
          </w14:textFill>
        </w:rPr>
      </w:pPr>
    </w:p>
    <w:p w14:paraId="2E7D67FE">
      <w:pPr>
        <w:snapToGrid w:val="0"/>
        <w:spacing w:line="360" w:lineRule="auto"/>
        <w:rPr>
          <w:rFonts w:ascii="仿宋" w:hAnsi="仿宋" w:cs="仿宋"/>
          <w:color w:val="000000" w:themeColor="text1"/>
          <w:highlight w:val="none"/>
          <w14:textFill>
            <w14:solidFill>
              <w14:schemeClr w14:val="tx1"/>
            </w14:solidFill>
          </w14:textFill>
        </w:rPr>
      </w:pPr>
    </w:p>
    <w:p w14:paraId="16CF48F0">
      <w:pPr>
        <w:snapToGrid w:val="0"/>
        <w:spacing w:line="360" w:lineRule="auto"/>
        <w:rPr>
          <w:rFonts w:ascii="仿宋" w:hAnsi="仿宋" w:cs="仿宋"/>
          <w:color w:val="000000" w:themeColor="text1"/>
          <w:highlight w:val="none"/>
          <w14:textFill>
            <w14:solidFill>
              <w14:schemeClr w14:val="tx1"/>
            </w14:solidFill>
          </w14:textFill>
        </w:rPr>
      </w:pPr>
    </w:p>
    <w:p w14:paraId="6722B950">
      <w:pPr>
        <w:snapToGrid w:val="0"/>
        <w:spacing w:line="360" w:lineRule="auto"/>
        <w:rPr>
          <w:rFonts w:ascii="仿宋" w:hAnsi="仿宋" w:cs="仿宋"/>
          <w:color w:val="000000" w:themeColor="text1"/>
          <w:highlight w:val="none"/>
          <w14:textFill>
            <w14:solidFill>
              <w14:schemeClr w14:val="tx1"/>
            </w14:solidFill>
          </w14:textFill>
        </w:rPr>
      </w:pPr>
    </w:p>
    <w:p w14:paraId="61FD6E8B">
      <w:pPr>
        <w:snapToGrid w:val="0"/>
        <w:spacing w:line="360" w:lineRule="auto"/>
        <w:rPr>
          <w:rFonts w:ascii="仿宋" w:hAnsi="仿宋" w:cs="仿宋"/>
          <w:color w:val="000000" w:themeColor="text1"/>
          <w:highlight w:val="none"/>
          <w14:textFill>
            <w14:solidFill>
              <w14:schemeClr w14:val="tx1"/>
            </w14:solidFill>
          </w14:textFill>
        </w:rPr>
      </w:pPr>
    </w:p>
    <w:p w14:paraId="6D1FFC7E">
      <w:pPr>
        <w:snapToGrid w:val="0"/>
        <w:spacing w:line="360" w:lineRule="auto"/>
        <w:rPr>
          <w:rFonts w:ascii="仿宋" w:hAnsi="仿宋" w:cs="仿宋"/>
          <w:color w:val="000000" w:themeColor="text1"/>
          <w:highlight w:val="none"/>
          <w14:textFill>
            <w14:solidFill>
              <w14:schemeClr w14:val="tx1"/>
            </w14:solidFill>
          </w14:textFill>
        </w:rPr>
      </w:pPr>
    </w:p>
    <w:p w14:paraId="683BCE67">
      <w:pPr>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br w:type="page"/>
      </w:r>
    </w:p>
    <w:p w14:paraId="46511BE1">
      <w:pPr>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注：“中小企业规模类型自测小程序”可在微信或百度上搜索</w:t>
      </w:r>
    </w:p>
    <w:p w14:paraId="410E5181">
      <w:pPr>
        <w:snapToGrid w:val="0"/>
        <w:spacing w:line="360" w:lineRule="auto"/>
        <w:rPr>
          <w:rFonts w:ascii="仿宋" w:hAnsi="仿宋" w:cs="仿宋"/>
          <w:color w:val="000000" w:themeColor="text1"/>
          <w:highlight w:val="none"/>
          <w14:textFill>
            <w14:solidFill>
              <w14:schemeClr w14:val="tx1"/>
            </w14:solidFill>
          </w14:textFill>
        </w:rPr>
      </w:pPr>
    </w:p>
    <w:p w14:paraId="4B19EB51">
      <w:pPr>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drawing>
          <wp:inline distT="0" distB="0" distL="0" distR="0">
            <wp:extent cx="3277235" cy="5546090"/>
            <wp:effectExtent l="0" t="0" r="18415"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289880" cy="5566965"/>
                    </a:xfrm>
                    <a:prstGeom prst="rect">
                      <a:avLst/>
                    </a:prstGeom>
                  </pic:spPr>
                </pic:pic>
              </a:graphicData>
            </a:graphic>
          </wp:inline>
        </w:drawing>
      </w:r>
    </w:p>
    <w:p w14:paraId="65226AAE">
      <w:pPr>
        <w:rPr>
          <w:rFonts w:ascii="仿宋" w:hAnsi="仿宋" w:cs="仿宋"/>
          <w:color w:val="000000" w:themeColor="text1"/>
          <w:highlight w:val="none"/>
          <w14:textFill>
            <w14:solidFill>
              <w14:schemeClr w14:val="tx1"/>
            </w14:solidFill>
          </w14:textFill>
        </w:rPr>
      </w:pPr>
    </w:p>
    <w:p w14:paraId="4BDBE5ED">
      <w:pPr>
        <w:rPr>
          <w:rFonts w:ascii="仿宋" w:hAnsi="仿宋" w:cs="仿宋"/>
          <w:color w:val="000000" w:themeColor="text1"/>
          <w:highlight w:val="none"/>
          <w14:textFill>
            <w14:solidFill>
              <w14:schemeClr w14:val="tx1"/>
            </w14:solidFill>
          </w14:textFill>
        </w:rPr>
      </w:pPr>
    </w:p>
    <w:p w14:paraId="09EB6CF6">
      <w:pPr>
        <w:rPr>
          <w:rFonts w:ascii="仿宋" w:hAnsi="仿宋" w:cs="仿宋"/>
          <w:color w:val="000000" w:themeColor="text1"/>
          <w:highlight w:val="none"/>
          <w14:textFill>
            <w14:solidFill>
              <w14:schemeClr w14:val="tx1"/>
            </w14:solidFill>
          </w14:textFill>
        </w:rPr>
      </w:pPr>
    </w:p>
    <w:p w14:paraId="62710F9E">
      <w:pPr>
        <w:widowControl/>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br w:type="page"/>
      </w:r>
    </w:p>
    <w:p w14:paraId="1565D194">
      <w:pPr>
        <w:outlineLvl w:val="0"/>
        <w:rPr>
          <w:rFonts w:ascii="仿宋" w:hAnsi="仿宋" w:cs="仿宋"/>
          <w:bCs/>
          <w:color w:val="000000" w:themeColor="text1"/>
          <w:highlight w:val="none"/>
          <w14:textFill>
            <w14:solidFill>
              <w14:schemeClr w14:val="tx1"/>
            </w14:solidFill>
          </w14:textFill>
        </w:rPr>
      </w:pPr>
      <w:bookmarkStart w:id="509" w:name="_Toc23474"/>
      <w:r>
        <w:rPr>
          <w:rStyle w:val="62"/>
          <w:rFonts w:hint="eastAsia" w:ascii="仿宋" w:hAnsi="仿宋" w:eastAsia="仿宋" w:cs="仿宋"/>
          <w:bCs w:val="0"/>
          <w:color w:val="000000" w:themeColor="text1"/>
          <w:sz w:val="24"/>
          <w:szCs w:val="24"/>
          <w:highlight w:val="none"/>
          <w14:textFill>
            <w14:solidFill>
              <w14:schemeClr w14:val="tx1"/>
            </w14:solidFill>
          </w14:textFill>
        </w:rPr>
        <w:t>附件1</w:t>
      </w:r>
      <w:r>
        <w:rPr>
          <w:rStyle w:val="62"/>
          <w:rFonts w:ascii="仿宋" w:hAnsi="仿宋" w:eastAsia="仿宋" w:cs="仿宋"/>
          <w:bCs w:val="0"/>
          <w:color w:val="000000" w:themeColor="text1"/>
          <w:sz w:val="24"/>
          <w:szCs w:val="24"/>
          <w:highlight w:val="none"/>
          <w14:textFill>
            <w14:solidFill>
              <w14:schemeClr w14:val="tx1"/>
            </w14:solidFill>
          </w14:textFill>
        </w:rPr>
        <w:t>1</w:t>
      </w:r>
      <w:r>
        <w:rPr>
          <w:rStyle w:val="62"/>
          <w:rFonts w:hint="eastAsia" w:ascii="仿宋" w:hAnsi="仿宋" w:eastAsia="仿宋" w:cs="仿宋"/>
          <w:bCs w:val="0"/>
          <w:color w:val="000000" w:themeColor="text1"/>
          <w:sz w:val="24"/>
          <w:szCs w:val="24"/>
          <w:highlight w:val="none"/>
          <w14:textFill>
            <w14:solidFill>
              <w14:schemeClr w14:val="tx1"/>
            </w14:solidFill>
          </w14:textFill>
        </w:rPr>
        <w:t xml:space="preserve"> 信用中国网站截图</w:t>
      </w:r>
      <w:bookmarkEnd w:id="486"/>
      <w:bookmarkEnd w:id="487"/>
      <w:bookmarkEnd w:id="488"/>
      <w:bookmarkEnd w:id="509"/>
    </w:p>
    <w:p w14:paraId="6DDF0F39">
      <w:pPr>
        <w:spacing w:line="360" w:lineRule="auto"/>
        <w:rPr>
          <w:rFonts w:ascii="仿宋" w:hAnsi="仿宋" w:cs="仿宋"/>
          <w:b/>
          <w:bCs/>
          <w:color w:val="000000" w:themeColor="text1"/>
          <w:szCs w:val="24"/>
          <w:highlight w:val="none"/>
          <w14:textFill>
            <w14:solidFill>
              <w14:schemeClr w14:val="tx1"/>
            </w14:solidFill>
          </w14:textFill>
        </w:rPr>
      </w:pPr>
    </w:p>
    <w:p w14:paraId="34298BF7">
      <w:pPr>
        <w:spacing w:line="360" w:lineRule="auto"/>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注：投标人将中国执行信息公开网（zxgk.court.gov.cn）和“信用中国”网站（http://www.creditchina.gov.cn）截图附在此处。截图应能清晰显示投标人名称、查询结果。</w:t>
      </w:r>
    </w:p>
    <w:p w14:paraId="2E26C659">
      <w:pPr>
        <w:pStyle w:val="9"/>
        <w:spacing w:before="120" w:line="360" w:lineRule="auto"/>
        <w:ind w:firstLine="240" w:firstLineChars="100"/>
        <w:rPr>
          <w:rFonts w:ascii="仿宋" w:hAnsi="仿宋"/>
          <w:color w:val="000000" w:themeColor="text1"/>
          <w:highlight w:val="none"/>
          <w14:textFill>
            <w14:solidFill>
              <w14:schemeClr w14:val="tx1"/>
            </w14:solidFill>
          </w14:textFill>
        </w:rPr>
      </w:pPr>
      <w:r>
        <w:rPr>
          <w:rFonts w:hint="eastAsia" w:ascii="仿宋" w:hAnsi="仿宋" w:cs="仿宋"/>
          <w:color w:val="000000" w:themeColor="text1"/>
          <w:szCs w:val="18"/>
          <w:highlight w:val="none"/>
          <w14:textFill>
            <w14:solidFill>
              <w14:schemeClr w14:val="tx1"/>
            </w14:solidFill>
          </w14:textFill>
        </w:rPr>
        <w:t>查询截图示例：</w:t>
      </w:r>
    </w:p>
    <w:p w14:paraId="5401666F">
      <w:pPr>
        <w:numPr>
          <w:ilvl w:val="0"/>
          <w:numId w:val="79"/>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未被列入失信被执行人查询截图：</w:t>
      </w:r>
      <w:bookmarkEnd w:id="464"/>
      <w:bookmarkStart w:id="510" w:name="_Toc32138"/>
    </w:p>
    <w:p w14:paraId="1EFF2A59">
      <w:pPr>
        <w:spacing w:line="360" w:lineRule="auto"/>
        <w:ind w:firstLine="480" w:firstLineChars="200"/>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鉴于信用中国网站（www.creditchina.gov.cn）不再提供直接查询失信被执行人信息的信用服务，目前点击信用中国信用服务项下的失信被执行人图标会弹出跳转中国执行信息公开网（zxgk.court.gov.cn）的界面，建议通过中国执行信息公开网（zxgk.court.gov.cn）进行查询。</w:t>
      </w:r>
    </w:p>
    <w:p w14:paraId="17967BC5">
      <w:pPr>
        <w:spacing w:line="360" w:lineRule="auto"/>
        <w:ind w:firstLine="480" w:firstLineChars="200"/>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首先，直接搜索中国执行信息公开网（zxgk.court.gov.cn）或点击信用中国（www.creditchina.gov.cn）信用服务项下的失信被执行人图标。</w:t>
      </w:r>
    </w:p>
    <w:p w14:paraId="5A5C3E46">
      <w:pPr>
        <w:spacing w:line="360" w:lineRule="auto"/>
        <w:ind w:firstLine="480" w:firstLineChars="200"/>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直接搜索中国执行信息公开网（zxgk.court.gov.cn）的情况，点击下图所示失信被执行人图标进入失信被执行人查询界面。</w:t>
      </w:r>
    </w:p>
    <w:p w14:paraId="05AB86D8">
      <w:pPr>
        <w:spacing w:line="360" w:lineRule="auto"/>
        <w:ind w:firstLine="480" w:firstLineChars="200"/>
        <w:rPr>
          <w:rFonts w:ascii="仿宋" w:hAnsi="仿宋" w:cs="仿宋"/>
          <w:color w:val="000000" w:themeColor="text1"/>
          <w:sz w:val="28"/>
          <w:szCs w:val="28"/>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drawing>
          <wp:inline distT="0" distB="0" distL="0" distR="0">
            <wp:extent cx="4197985" cy="2286635"/>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7985" cy="2286635"/>
                    </a:xfrm>
                    <a:prstGeom prst="rect">
                      <a:avLst/>
                    </a:prstGeom>
                    <a:noFill/>
                    <a:ln>
                      <a:noFill/>
                    </a:ln>
                  </pic:spPr>
                </pic:pic>
              </a:graphicData>
            </a:graphic>
          </wp:inline>
        </w:drawing>
      </w:r>
    </w:p>
    <w:p w14:paraId="7E179E83">
      <w:pPr>
        <w:spacing w:line="360" w:lineRule="auto"/>
        <w:ind w:firstLine="480" w:firstLineChars="200"/>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点击信用中国（www.creditchina.gov.cn）信用服务项下失信被执行人图标的情况，点击下图所示的确定按钮进入失信被执行人查询界面。</w:t>
      </w:r>
    </w:p>
    <w:p w14:paraId="15D7AB6D">
      <w:pPr>
        <w:spacing w:line="360" w:lineRule="auto"/>
        <w:jc w:val="center"/>
        <w:rPr>
          <w:rFonts w:ascii="仿宋" w:hAnsi="仿宋" w:cs="仿宋"/>
          <w:color w:val="000000" w:themeColor="text1"/>
          <w:sz w:val="28"/>
          <w:szCs w:val="28"/>
          <w:highlight w:val="none"/>
          <w14:textFill>
            <w14:solidFill>
              <w14:schemeClr w14:val="tx1"/>
            </w14:solidFill>
          </w14:textFill>
        </w:rPr>
      </w:pPr>
      <w:r>
        <w:rPr>
          <w:rFonts w:hint="eastAsia" w:ascii="仿宋" w:hAnsi="仿宋" w:cs="仿宋"/>
          <w:b/>
          <w:bCs/>
          <w:color w:val="000000" w:themeColor="text1"/>
          <w:sz w:val="28"/>
          <w:szCs w:val="28"/>
          <w:highlight w:val="none"/>
          <w14:textFill>
            <w14:solidFill>
              <w14:schemeClr w14:val="tx1"/>
            </w14:solidFill>
          </w14:textFill>
        </w:rPr>
        <w:drawing>
          <wp:inline distT="0" distB="0" distL="0" distR="0">
            <wp:extent cx="5269230" cy="3592830"/>
            <wp:effectExtent l="0" t="0" r="7620" b="762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69230" cy="3592830"/>
                    </a:xfrm>
                    <a:prstGeom prst="rect">
                      <a:avLst/>
                    </a:prstGeom>
                    <a:noFill/>
                    <a:ln>
                      <a:noFill/>
                    </a:ln>
                  </pic:spPr>
                </pic:pic>
              </a:graphicData>
            </a:graphic>
          </wp:inline>
        </w:drawing>
      </w:r>
    </w:p>
    <w:p w14:paraId="306788E1">
      <w:pPr>
        <w:spacing w:line="360" w:lineRule="auto"/>
        <w:ind w:firstLine="240" w:firstLineChars="100"/>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进入失信被执行人查询界面后，在被执行人姓名/名称栏目输入公司名称，并在填写正确的验证码后点击查询按钮，查询结果为“在全国范围内没有找到 公司名称 相关的结果”则证明所查询公司无失信被执行记录。</w:t>
      </w:r>
    </w:p>
    <w:p w14:paraId="1D4B4FC6">
      <w:pPr>
        <w:numPr>
          <w:ilvl w:val="0"/>
          <w:numId w:val="79"/>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未被列入重大税收违法案件当事人查询截图：</w:t>
      </w:r>
      <w:bookmarkStart w:id="511" w:name="_Toc3239"/>
    </w:p>
    <w:p w14:paraId="23A6E9C5">
      <w:pPr>
        <w:pStyle w:val="27"/>
        <w:spacing w:line="360" w:lineRule="auto"/>
        <w:ind w:left="480" w:hanging="48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（查询路径：首页/信用服务/重大税收违法案件当事人）</w:t>
      </w:r>
    </w:p>
    <w:p w14:paraId="112C82C3">
      <w:pPr>
        <w:pStyle w:val="27"/>
        <w:spacing w:line="360" w:lineRule="auto"/>
        <w:ind w:left="480" w:hanging="480"/>
        <w:rPr>
          <w:rFonts w:ascii="仿宋" w:hAnsi="仿宋" w:cs="仿宋"/>
          <w:color w:val="000000" w:themeColor="text1"/>
          <w:highlight w:val="none"/>
          <w14:textFill>
            <w14:solidFill>
              <w14:schemeClr w14:val="tx1"/>
            </w14:solidFill>
          </w14:textFill>
        </w:rPr>
      </w:pPr>
    </w:p>
    <w:p w14:paraId="3BB74871">
      <w:pPr>
        <w:numPr>
          <w:ilvl w:val="0"/>
          <w:numId w:val="79"/>
        </w:num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未被列入政府采购严重违法失信行为记录名单查询截图</w:t>
      </w:r>
      <w:bookmarkEnd w:id="511"/>
    </w:p>
    <w:p w14:paraId="43D1887D">
      <w:pPr>
        <w:spacing w:line="360" w:lineRule="auto"/>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（查询路径：首页/信用服务/政府采购不良行为记录）</w:t>
      </w:r>
    </w:p>
    <w:p w14:paraId="2CFFB475">
      <w:pPr>
        <w:pStyle w:val="9"/>
        <w:spacing w:before="120"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备注：如查询失信被执行人记录名单查询截图时，无法查询到上述截图，可直接从“信用中国”网站下载投标人的“信用信息”报告，将完整报告附在此处。下载方式如下图：</w:t>
      </w:r>
    </w:p>
    <w:p w14:paraId="708398D2">
      <w:pPr>
        <w:pStyle w:val="9"/>
        <w:spacing w:before="120" w:line="360" w:lineRule="auto"/>
        <w:ind w:firstLine="210"/>
        <w:rPr>
          <w:rFonts w:ascii="仿宋" w:hAnsi="仿宋" w:cs="仿宋"/>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“信用信息”报告首页如下图，投标人须在投标文件中附上全部的报告</w:t>
      </w:r>
      <w:r>
        <w:rPr>
          <w:rFonts w:hint="eastAsia" w:ascii="仿宋" w:hAnsi="仿宋" w:cs="仿宋"/>
          <w:b/>
          <w:bCs/>
          <w:color w:val="000000" w:themeColor="text1"/>
          <w:highlight w:val="none"/>
          <w:lang w:eastAsia="zh-CN"/>
          <w14:textFill>
            <w14:solidFill>
              <w14:schemeClr w14:val="tx1"/>
            </w14:solidFill>
          </w14:textFill>
        </w:rPr>
        <w:t>。</w:t>
      </w:r>
    </w:p>
    <w:p w14:paraId="66A2E743">
      <w:pPr>
        <w:pStyle w:val="9"/>
        <w:spacing w:before="120" w:line="360" w:lineRule="auto"/>
        <w:ind w:left="660" w:hanging="240"/>
        <w:rPr>
          <w:rFonts w:ascii="仿宋" w:hAnsi="仿宋" w:cs="仿宋"/>
          <w:color w:val="000000" w:themeColor="text1"/>
          <w:highlight w:val="none"/>
          <w:u w:val="single"/>
          <w14:textFill>
            <w14:solidFill>
              <w14:schemeClr w14:val="tx1"/>
            </w14:solidFill>
          </w14:textFill>
        </w:rPr>
      </w:pPr>
    </w:p>
    <w:p w14:paraId="1D7D18CB">
      <w:pPr>
        <w:pStyle w:val="32"/>
        <w:ind w:left="0" w:leftChars="0" w:firstLine="0" w:firstLineChars="0"/>
        <w:rPr>
          <w:rFonts w:hint="eastAsia" w:ascii="仿宋" w:hAnsi="仿宋" w:eastAsia="仿宋" w:cs="仿宋"/>
          <w:b/>
          <w:bCs/>
          <w:color w:val="000000" w:themeColor="text1"/>
          <w:highlight w:val="none"/>
          <w:lang w:eastAsia="zh-CN"/>
          <w14:textFill>
            <w14:solidFill>
              <w14:schemeClr w14:val="tx1"/>
            </w14:solidFill>
          </w14:textFill>
        </w:rPr>
        <w:sectPr>
          <w:headerReference r:id="rId6" w:type="default"/>
          <w:footerReference r:id="rId7" w:type="default"/>
          <w:pgSz w:w="11905" w:h="16838"/>
          <w:pgMar w:top="1440" w:right="1797" w:bottom="1440" w:left="1797" w:header="850" w:footer="992" w:gutter="0"/>
          <w:cols w:space="720" w:num="1"/>
          <w:docGrid w:linePitch="312" w:charSpace="0"/>
        </w:sectPr>
      </w:pPr>
      <w:r>
        <w:rPr>
          <w:rFonts w:hint="eastAsia" w:ascii="仿宋" w:hAnsi="仿宋" w:cs="仿宋"/>
          <w:b/>
          <w:bCs/>
          <w:color w:val="000000" w:themeColor="text1"/>
          <w:highlight w:val="none"/>
          <w:lang w:eastAsia="zh-CN"/>
          <w14:textFill>
            <w14:solidFill>
              <w14:schemeClr w14:val="tx1"/>
            </w14:solidFill>
          </w14:textFill>
        </w:rPr>
        <w:t>上述内容查询方法，具体以官网为准。</w:t>
      </w:r>
    </w:p>
    <w:bookmarkEnd w:id="465"/>
    <w:bookmarkEnd w:id="510"/>
    <w:p w14:paraId="632DC92B">
      <w:pPr>
        <w:outlineLvl w:val="0"/>
        <w:rPr>
          <w:rStyle w:val="62"/>
          <w:rFonts w:ascii="仿宋" w:hAnsi="仿宋" w:eastAsia="仿宋" w:cs="仿宋"/>
          <w:color w:val="000000" w:themeColor="text1"/>
          <w:sz w:val="24"/>
          <w:szCs w:val="24"/>
          <w:highlight w:val="none"/>
          <w14:textFill>
            <w14:solidFill>
              <w14:schemeClr w14:val="tx1"/>
            </w14:solidFill>
          </w14:textFill>
        </w:rPr>
      </w:pPr>
      <w:bookmarkStart w:id="512" w:name="_Toc150933674"/>
      <w:bookmarkStart w:id="513" w:name="_Toc149230445"/>
      <w:bookmarkStart w:id="514" w:name="_Toc26330"/>
      <w:r>
        <w:rPr>
          <w:rStyle w:val="62"/>
          <w:rFonts w:hint="eastAsia" w:ascii="仿宋" w:hAnsi="仿宋" w:eastAsia="仿宋" w:cs="仿宋"/>
          <w:color w:val="000000" w:themeColor="text1"/>
          <w:sz w:val="24"/>
          <w:szCs w:val="24"/>
          <w:highlight w:val="none"/>
          <w14:textFill>
            <w14:solidFill>
              <w14:schemeClr w14:val="tx1"/>
            </w14:solidFill>
          </w14:textFill>
        </w:rPr>
        <w:t>附件1</w:t>
      </w:r>
      <w:r>
        <w:rPr>
          <w:rStyle w:val="62"/>
          <w:rFonts w:ascii="仿宋" w:hAnsi="仿宋" w:eastAsia="仿宋" w:cs="仿宋"/>
          <w:color w:val="000000" w:themeColor="text1"/>
          <w:sz w:val="24"/>
          <w:szCs w:val="24"/>
          <w:highlight w:val="none"/>
          <w14:textFill>
            <w14:solidFill>
              <w14:schemeClr w14:val="tx1"/>
            </w14:solidFill>
          </w14:textFill>
        </w:rPr>
        <w:t>2</w:t>
      </w:r>
      <w:r>
        <w:rPr>
          <w:rStyle w:val="62"/>
          <w:rFonts w:hint="eastAsia" w:ascii="仿宋" w:hAnsi="仿宋" w:eastAsia="仿宋" w:cs="仿宋"/>
          <w:color w:val="000000" w:themeColor="text1"/>
          <w:sz w:val="24"/>
          <w:szCs w:val="24"/>
          <w:highlight w:val="none"/>
          <w14:textFill>
            <w14:solidFill>
              <w14:schemeClr w14:val="tx1"/>
            </w14:solidFill>
          </w14:textFill>
        </w:rPr>
        <w:t xml:space="preserve"> 合规承诺函</w:t>
      </w:r>
      <w:bookmarkEnd w:id="512"/>
      <w:bookmarkEnd w:id="513"/>
      <w:bookmarkEnd w:id="514"/>
    </w:p>
    <w:p w14:paraId="2D853A14">
      <w:pPr>
        <w:rPr>
          <w:rFonts w:ascii="仿宋" w:hAnsi="仿宋" w:cs="仿宋"/>
          <w:color w:val="000000" w:themeColor="text1"/>
          <w:sz w:val="28"/>
          <w:highlight w:val="none"/>
          <w14:textFill>
            <w14:solidFill>
              <w14:schemeClr w14:val="tx1"/>
            </w14:solidFill>
          </w14:textFill>
        </w:rPr>
      </w:pPr>
    </w:p>
    <w:p w14:paraId="2DC4159B">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致：中国银行股份有限公司青海省分行</w:t>
      </w:r>
    </w:p>
    <w:p w14:paraId="24C43B11">
      <w:pPr>
        <w:spacing w:line="360" w:lineRule="auto"/>
        <w:ind w:firstLine="480" w:firstLineChars="200"/>
        <w:rPr>
          <w:rFonts w:ascii="仿宋" w:hAnsi="仿宋" w:cs="仿宋"/>
          <w:color w:val="000000" w:themeColor="text1"/>
          <w:highlight w:val="none"/>
          <w14:textFill>
            <w14:solidFill>
              <w14:schemeClr w14:val="tx1"/>
            </w14:solidFill>
          </w14:textFill>
        </w:rPr>
      </w:pPr>
    </w:p>
    <w:p w14:paraId="0849AE23">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司承诺，未受到联合国、中国或其他贵行认为需适用的制裁发布主体的制裁，也未被前述制裁对象拥有或实际控制。如我司受到联合国、中国或其他贵行认为需适用的制裁发布主体的制裁，或被前述制裁对象拥有或实际控制,我司自愿放弃中标资格。</w:t>
      </w:r>
    </w:p>
    <w:p w14:paraId="3D1DCC7B">
      <w:pPr>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公司承诺根据贵行的要求，本项目中提供的所有产品（包括组成产品的所有零件）已按照《中华人民共和国网络安全法》及《网络安全审查办法》等法律法规进行网络安全审查，且不存在国家互联网信息办公室网络安全审查不予通过的情形。我公司承诺不利用提供的产品和服务非法获取贵行数据、非法控制和操纵贵行设备，无正当理由不中断产品供应或必要的技术支持服务。</w:t>
      </w:r>
    </w:p>
    <w:p w14:paraId="43A8C7C5">
      <w:pPr>
        <w:spacing w:line="360" w:lineRule="auto"/>
        <w:ind w:firstLine="480" w:firstLineChars="200"/>
        <w:rPr>
          <w:rFonts w:ascii="仿宋" w:hAnsi="仿宋" w:cs="仿宋"/>
          <w:color w:val="000000" w:themeColor="text1"/>
          <w:highlight w:val="none"/>
          <w14:textFill>
            <w14:solidFill>
              <w14:schemeClr w14:val="tx1"/>
            </w14:solidFill>
          </w14:textFill>
        </w:rPr>
      </w:pPr>
    </w:p>
    <w:p w14:paraId="4CA81357">
      <w:pPr>
        <w:spacing w:line="360" w:lineRule="auto"/>
        <w:ind w:firstLine="480" w:firstLineChars="200"/>
        <w:rPr>
          <w:rFonts w:ascii="仿宋" w:hAnsi="仿宋" w:cs="仿宋"/>
          <w:color w:val="000000" w:themeColor="text1"/>
          <w:highlight w:val="none"/>
          <w14:textFill>
            <w14:solidFill>
              <w14:schemeClr w14:val="tx1"/>
            </w14:solidFill>
          </w14:textFill>
        </w:rPr>
      </w:pPr>
    </w:p>
    <w:p w14:paraId="3A4B693E">
      <w:pPr>
        <w:spacing w:line="360" w:lineRule="auto"/>
        <w:ind w:firstLine="480" w:firstLineChars="200"/>
        <w:rPr>
          <w:rFonts w:ascii="仿宋" w:hAnsi="仿宋" w:cs="仿宋"/>
          <w:color w:val="000000" w:themeColor="text1"/>
          <w:highlight w:val="none"/>
          <w14:textFill>
            <w14:solidFill>
              <w14:schemeClr w14:val="tx1"/>
            </w14:solidFill>
          </w14:textFill>
        </w:rPr>
      </w:pPr>
    </w:p>
    <w:p w14:paraId="537199C7">
      <w:pPr>
        <w:pStyle w:val="15"/>
        <w:spacing w:line="360" w:lineRule="auto"/>
        <w:ind w:firstLine="480" w:firstLineChars="200"/>
        <w:rPr>
          <w:rFonts w:ascii="仿宋" w:hAnsi="仿宋" w:cs="仿宋"/>
          <w:bCs/>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投标人名称（盖章）：____________________________</w:t>
      </w:r>
    </w:p>
    <w:p w14:paraId="134A4FFE">
      <w:pPr>
        <w:pStyle w:val="15"/>
        <w:spacing w:line="360" w:lineRule="auto"/>
        <w:ind w:firstLine="480" w:firstLineChars="200"/>
        <w:rPr>
          <w:rFonts w:ascii="仿宋" w:hAnsi="仿宋" w:cs="仿宋"/>
          <w:bCs/>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 xml:space="preserve">投标人授权代表（签字）：  </w:t>
      </w:r>
      <w:r>
        <w:rPr>
          <w:rFonts w:hint="eastAsia" w:ascii="仿宋" w:hAnsi="仿宋" w:cs="仿宋"/>
          <w:bCs/>
          <w:color w:val="000000" w:themeColor="text1"/>
          <w:highlight w:val="none"/>
          <w:u w:val="single"/>
          <w14:textFill>
            <w14:solidFill>
              <w14:schemeClr w14:val="tx1"/>
            </w14:solidFill>
          </w14:textFill>
        </w:rPr>
        <w:t xml:space="preserve"> </w:t>
      </w:r>
      <w:r>
        <w:rPr>
          <w:rFonts w:hint="eastAsia" w:ascii="仿宋" w:hAnsi="仿宋" w:cs="仿宋"/>
          <w:bCs/>
          <w:color w:val="000000" w:themeColor="text1"/>
          <w:highlight w:val="none"/>
          <w:u w:val="single"/>
          <w14:textFill>
            <w14:solidFill>
              <w14:schemeClr w14:val="tx1"/>
            </w14:solidFill>
          </w14:textFill>
        </w:rPr>
        <w:tab/>
      </w:r>
      <w:r>
        <w:rPr>
          <w:rFonts w:hint="eastAsia" w:ascii="仿宋" w:hAnsi="仿宋" w:cs="仿宋"/>
          <w:bCs/>
          <w:color w:val="000000" w:themeColor="text1"/>
          <w:highlight w:val="none"/>
          <w:u w:val="single"/>
          <w14:textFill>
            <w14:solidFill>
              <w14:schemeClr w14:val="tx1"/>
            </w14:solidFill>
          </w14:textFill>
        </w:rPr>
        <w:t xml:space="preserve">                       </w:t>
      </w:r>
    </w:p>
    <w:p w14:paraId="3EBCF7EB">
      <w:pPr>
        <w:pStyle w:val="27"/>
        <w:spacing w:line="360" w:lineRule="auto"/>
        <w:ind w:firstLine="480" w:firstLineChars="200"/>
        <w:rPr>
          <w:rFonts w:ascii="仿宋" w:hAnsi="仿宋" w:cs="仿宋"/>
          <w:color w:val="000000" w:themeColor="text1"/>
          <w:highlight w:val="none"/>
          <w14:textFill>
            <w14:solidFill>
              <w14:schemeClr w14:val="tx1"/>
            </w14:solidFill>
          </w14:textFill>
        </w:rPr>
      </w:pPr>
    </w:p>
    <w:p w14:paraId="12D8E007">
      <w:pPr>
        <w:pStyle w:val="6"/>
        <w:tabs>
          <w:tab w:val="left" w:pos="0"/>
        </w:tabs>
        <w:spacing w:before="0" w:after="0" w:line="360" w:lineRule="auto"/>
        <w:rPr>
          <w:rFonts w:ascii="仿宋" w:hAnsi="仿宋" w:cs="仿宋"/>
          <w:color w:val="000000" w:themeColor="text1"/>
          <w:highlight w:val="none"/>
          <w:u w:val="single"/>
          <w14:textFill>
            <w14:solidFill>
              <w14:schemeClr w14:val="tx1"/>
            </w14:solidFill>
          </w14:textFill>
        </w:rPr>
        <w:sectPr>
          <w:headerReference r:id="rId8" w:type="default"/>
          <w:footerReference r:id="rId9" w:type="default"/>
          <w:pgSz w:w="11905" w:h="16838"/>
          <w:pgMar w:top="1440" w:right="1797" w:bottom="1440" w:left="1797" w:header="850" w:footer="992" w:gutter="0"/>
          <w:cols w:space="720" w:num="1"/>
          <w:docGrid w:linePitch="312" w:charSpace="0"/>
        </w:sectPr>
      </w:pPr>
    </w:p>
    <w:p w14:paraId="2B83C9AC">
      <w:pPr>
        <w:outlineLvl w:val="0"/>
        <w:rPr>
          <w:rStyle w:val="62"/>
          <w:rFonts w:ascii="仿宋" w:hAnsi="仿宋" w:eastAsia="仿宋" w:cs="仿宋"/>
          <w:color w:val="000000" w:themeColor="text1"/>
          <w:sz w:val="24"/>
          <w:szCs w:val="24"/>
          <w:highlight w:val="none"/>
          <w14:textFill>
            <w14:solidFill>
              <w14:schemeClr w14:val="tx1"/>
            </w14:solidFill>
          </w14:textFill>
        </w:rPr>
      </w:pPr>
      <w:bookmarkStart w:id="515" w:name="_Toc150933655"/>
      <w:bookmarkStart w:id="516" w:name="_Toc18079"/>
      <w:bookmarkStart w:id="517" w:name="_Toc149230435"/>
      <w:bookmarkStart w:id="518" w:name="_Toc108796182"/>
      <w:bookmarkStart w:id="519" w:name="_Toc150933668"/>
      <w:bookmarkStart w:id="520" w:name="_Toc149230439"/>
      <w:bookmarkStart w:id="521" w:name="_Toc108796187"/>
      <w:r>
        <w:rPr>
          <w:rStyle w:val="62"/>
          <w:rFonts w:hint="eastAsia" w:ascii="仿宋" w:hAnsi="仿宋" w:eastAsia="仿宋" w:cs="仿宋"/>
          <w:color w:val="000000" w:themeColor="text1"/>
          <w:sz w:val="24"/>
          <w:szCs w:val="24"/>
          <w:highlight w:val="none"/>
          <w14:textFill>
            <w14:solidFill>
              <w14:schemeClr w14:val="tx1"/>
            </w14:solidFill>
          </w14:textFill>
        </w:rPr>
        <w:t>附件1</w:t>
      </w:r>
      <w:r>
        <w:rPr>
          <w:rStyle w:val="62"/>
          <w:rFonts w:ascii="仿宋" w:hAnsi="仿宋" w:eastAsia="仿宋" w:cs="仿宋"/>
          <w:color w:val="000000" w:themeColor="text1"/>
          <w:sz w:val="24"/>
          <w:szCs w:val="24"/>
          <w:highlight w:val="none"/>
          <w14:textFill>
            <w14:solidFill>
              <w14:schemeClr w14:val="tx1"/>
            </w14:solidFill>
          </w14:textFill>
        </w:rPr>
        <w:t>3</w:t>
      </w:r>
      <w:r>
        <w:rPr>
          <w:rStyle w:val="62"/>
          <w:rFonts w:hint="eastAsia" w:ascii="仿宋" w:hAnsi="仿宋" w:eastAsia="仿宋" w:cs="仿宋"/>
          <w:color w:val="000000" w:themeColor="text1"/>
          <w:sz w:val="24"/>
          <w:szCs w:val="24"/>
          <w:highlight w:val="none"/>
          <w14:textFill>
            <w14:solidFill>
              <w14:schemeClr w14:val="tx1"/>
            </w14:solidFill>
          </w14:textFill>
        </w:rPr>
        <w:t xml:space="preserve"> 投标人控股及关联关系情况表</w:t>
      </w:r>
      <w:bookmarkEnd w:id="515"/>
      <w:bookmarkEnd w:id="516"/>
      <w:bookmarkEnd w:id="517"/>
      <w:bookmarkEnd w:id="518"/>
    </w:p>
    <w:p w14:paraId="4CB51F86">
      <w:pPr>
        <w:adjustRightInd w:val="0"/>
        <w:snapToGrid w:val="0"/>
        <w:spacing w:line="440" w:lineRule="exact"/>
        <w:rPr>
          <w:rFonts w:ascii="仿宋" w:hAnsi="仿宋" w:cs="仿宋"/>
          <w:color w:val="000000" w:themeColor="text1"/>
          <w:highlight w:val="none"/>
          <w14:textFill>
            <w14:solidFill>
              <w14:schemeClr w14:val="tx1"/>
            </w14:solidFill>
          </w14:textFill>
        </w:rPr>
      </w:pPr>
    </w:p>
    <w:p w14:paraId="52516540">
      <w:pPr>
        <w:adjustRightInd w:val="0"/>
        <w:snapToGrid w:val="0"/>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我公司参加 XXXX项目的投标，根据法律法规维护投标公正性的相关规定，特就本公司控股及关联关系情况申报如下，并承担申报不实的责任。</w:t>
      </w:r>
    </w:p>
    <w:tbl>
      <w:tblPr>
        <w:tblStyle w:val="33"/>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455"/>
        <w:gridCol w:w="3826"/>
      </w:tblGrid>
      <w:tr w14:paraId="34BF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14:paraId="2412FEBA">
            <w:pPr>
              <w:adjustRightInd w:val="0"/>
              <w:snapToGrid w:val="0"/>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供应商名称</w:t>
            </w:r>
          </w:p>
        </w:tc>
        <w:tc>
          <w:tcPr>
            <w:tcW w:w="6281" w:type="dxa"/>
            <w:gridSpan w:val="2"/>
            <w:tcBorders>
              <w:top w:val="single" w:color="auto" w:sz="4" w:space="0"/>
              <w:left w:val="single" w:color="auto" w:sz="4" w:space="0"/>
              <w:bottom w:val="single" w:color="auto" w:sz="4" w:space="0"/>
              <w:right w:val="single" w:color="auto" w:sz="4" w:space="0"/>
            </w:tcBorders>
            <w:vAlign w:val="center"/>
          </w:tcPr>
          <w:p w14:paraId="3FC19ED3">
            <w:pPr>
              <w:adjustRightInd w:val="0"/>
              <w:snapToGrid w:val="0"/>
              <w:spacing w:line="360" w:lineRule="auto"/>
              <w:rPr>
                <w:rFonts w:ascii="仿宋" w:hAnsi="仿宋" w:cs="仿宋"/>
                <w:color w:val="000000" w:themeColor="text1"/>
                <w:highlight w:val="none"/>
                <w14:textFill>
                  <w14:solidFill>
                    <w14:schemeClr w14:val="tx1"/>
                  </w14:solidFill>
                </w14:textFill>
              </w:rPr>
            </w:pPr>
          </w:p>
        </w:tc>
      </w:tr>
      <w:tr w14:paraId="740A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14:paraId="3405A56F">
            <w:pPr>
              <w:adjustRightInd w:val="0"/>
              <w:snapToGrid w:val="0"/>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法定代表人/单位负责人姓名和身份证号/护照号</w:t>
            </w:r>
          </w:p>
        </w:tc>
        <w:tc>
          <w:tcPr>
            <w:tcW w:w="6281" w:type="dxa"/>
            <w:gridSpan w:val="2"/>
            <w:tcBorders>
              <w:top w:val="single" w:color="auto" w:sz="4" w:space="0"/>
              <w:left w:val="single" w:color="auto" w:sz="4" w:space="0"/>
              <w:bottom w:val="single" w:color="auto" w:sz="4" w:space="0"/>
              <w:right w:val="single" w:color="auto" w:sz="4" w:space="0"/>
            </w:tcBorders>
            <w:vAlign w:val="center"/>
          </w:tcPr>
          <w:p w14:paraId="083BBE95">
            <w:pPr>
              <w:adjustRightInd w:val="0"/>
              <w:snapToGrid w:val="0"/>
              <w:spacing w:line="360" w:lineRule="auto"/>
              <w:rPr>
                <w:rFonts w:ascii="仿宋" w:hAnsi="仿宋" w:cs="仿宋"/>
                <w:color w:val="000000" w:themeColor="text1"/>
                <w:highlight w:val="none"/>
                <w14:textFill>
                  <w14:solidFill>
                    <w14:schemeClr w14:val="tx1"/>
                  </w14:solidFill>
                </w14:textFill>
              </w:rPr>
            </w:pPr>
          </w:p>
        </w:tc>
      </w:tr>
      <w:tr w14:paraId="26C5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14:paraId="0F72B3DF">
            <w:pPr>
              <w:adjustRightInd w:val="0"/>
              <w:snapToGrid w:val="0"/>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实际控制人</w:t>
            </w:r>
          </w:p>
        </w:tc>
        <w:tc>
          <w:tcPr>
            <w:tcW w:w="6281" w:type="dxa"/>
            <w:gridSpan w:val="2"/>
            <w:tcBorders>
              <w:top w:val="single" w:color="auto" w:sz="4" w:space="0"/>
              <w:left w:val="single" w:color="auto" w:sz="4" w:space="0"/>
              <w:bottom w:val="single" w:color="auto" w:sz="4" w:space="0"/>
              <w:right w:val="single" w:color="auto" w:sz="4" w:space="0"/>
            </w:tcBorders>
            <w:vAlign w:val="center"/>
          </w:tcPr>
          <w:p w14:paraId="2B52F083">
            <w:pPr>
              <w:adjustRightInd w:val="0"/>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如果实际控制人是法人,需要提供公司名称,如果实际控制人是自然人,需要提供身份证复印件或姓名、身份证号。</w:t>
            </w:r>
          </w:p>
        </w:tc>
      </w:tr>
      <w:tr w14:paraId="7DC7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14:paraId="176CAF80">
            <w:pPr>
              <w:adjustRightInd w:val="0"/>
              <w:snapToGrid w:val="0"/>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供应商的控股股东/投资人名称及出资比例</w:t>
            </w:r>
          </w:p>
        </w:tc>
        <w:tc>
          <w:tcPr>
            <w:tcW w:w="6281" w:type="dxa"/>
            <w:gridSpan w:val="2"/>
            <w:tcBorders>
              <w:top w:val="single" w:color="auto" w:sz="4" w:space="0"/>
              <w:left w:val="single" w:color="auto" w:sz="4" w:space="0"/>
              <w:bottom w:val="single" w:color="auto" w:sz="4" w:space="0"/>
              <w:right w:val="single" w:color="auto" w:sz="4" w:space="0"/>
            </w:tcBorders>
            <w:vAlign w:val="center"/>
          </w:tcPr>
          <w:p w14:paraId="560BF317">
            <w:pPr>
              <w:adjustRightInd w:val="0"/>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 如控股股东/投资人为自然人需提供姓名和身份证号/护照号</w:t>
            </w:r>
          </w:p>
        </w:tc>
      </w:tr>
      <w:tr w14:paraId="63F6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14:paraId="6466F392">
            <w:pPr>
              <w:adjustRightInd w:val="0"/>
              <w:snapToGrid w:val="0"/>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供应商的非控股股东/投资人名称及出资比例</w:t>
            </w:r>
          </w:p>
        </w:tc>
        <w:tc>
          <w:tcPr>
            <w:tcW w:w="6281" w:type="dxa"/>
            <w:gridSpan w:val="2"/>
            <w:tcBorders>
              <w:top w:val="single" w:color="auto" w:sz="4" w:space="0"/>
              <w:left w:val="single" w:color="auto" w:sz="4" w:space="0"/>
              <w:bottom w:val="single" w:color="auto" w:sz="4" w:space="0"/>
              <w:right w:val="single" w:color="auto" w:sz="4" w:space="0"/>
            </w:tcBorders>
            <w:vAlign w:val="center"/>
          </w:tcPr>
          <w:p w14:paraId="522B77B6">
            <w:pPr>
              <w:adjustRightInd w:val="0"/>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注:出资比例超过25%的股东或投资人如为自然人需提供姓名和身份证号/护照号</w:t>
            </w:r>
          </w:p>
        </w:tc>
      </w:tr>
      <w:tr w14:paraId="31C7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4" w:type="dxa"/>
            <w:vMerge w:val="restart"/>
            <w:tcBorders>
              <w:top w:val="single" w:color="auto" w:sz="4" w:space="0"/>
              <w:left w:val="single" w:color="auto" w:sz="4" w:space="0"/>
              <w:bottom w:val="single" w:color="auto" w:sz="4" w:space="0"/>
              <w:right w:val="single" w:color="auto" w:sz="4" w:space="0"/>
            </w:tcBorders>
            <w:vAlign w:val="center"/>
          </w:tcPr>
          <w:p w14:paraId="3F500666">
            <w:pPr>
              <w:adjustRightInd w:val="0"/>
              <w:snapToGrid w:val="0"/>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管理关系单位</w:t>
            </w:r>
          </w:p>
        </w:tc>
        <w:tc>
          <w:tcPr>
            <w:tcW w:w="2455" w:type="dxa"/>
            <w:tcBorders>
              <w:top w:val="single" w:color="auto" w:sz="4" w:space="0"/>
              <w:left w:val="single" w:color="auto" w:sz="4" w:space="0"/>
              <w:bottom w:val="single" w:color="auto" w:sz="4" w:space="0"/>
              <w:right w:val="single" w:color="auto" w:sz="4" w:space="0"/>
            </w:tcBorders>
            <w:vAlign w:val="center"/>
          </w:tcPr>
          <w:p w14:paraId="1D298389">
            <w:pPr>
              <w:adjustRightInd w:val="0"/>
              <w:snapToGrid w:val="0"/>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管理关系单位名称</w:t>
            </w:r>
          </w:p>
        </w:tc>
        <w:tc>
          <w:tcPr>
            <w:tcW w:w="3826" w:type="dxa"/>
            <w:tcBorders>
              <w:top w:val="single" w:color="auto" w:sz="4" w:space="0"/>
              <w:left w:val="single" w:color="auto" w:sz="4" w:space="0"/>
              <w:bottom w:val="single" w:color="auto" w:sz="4" w:space="0"/>
              <w:right w:val="single" w:color="auto" w:sz="4" w:space="0"/>
            </w:tcBorders>
            <w:vAlign w:val="center"/>
          </w:tcPr>
          <w:p w14:paraId="01ACF940">
            <w:pPr>
              <w:adjustRightInd w:val="0"/>
              <w:snapToGrid w:val="0"/>
              <w:spacing w:line="360" w:lineRule="auto"/>
              <w:rPr>
                <w:rFonts w:ascii="仿宋" w:hAnsi="仿宋" w:cs="仿宋"/>
                <w:color w:val="000000" w:themeColor="text1"/>
                <w:highlight w:val="none"/>
                <w14:textFill>
                  <w14:solidFill>
                    <w14:schemeClr w14:val="tx1"/>
                  </w14:solidFill>
                </w14:textFill>
              </w:rPr>
            </w:pPr>
          </w:p>
        </w:tc>
      </w:tr>
      <w:tr w14:paraId="199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4" w:type="dxa"/>
            <w:vMerge w:val="continue"/>
            <w:tcBorders>
              <w:top w:val="single" w:color="auto" w:sz="4" w:space="0"/>
              <w:left w:val="single" w:color="auto" w:sz="4" w:space="0"/>
              <w:bottom w:val="single" w:color="auto" w:sz="4" w:space="0"/>
              <w:right w:val="single" w:color="auto" w:sz="4" w:space="0"/>
            </w:tcBorders>
            <w:vAlign w:val="center"/>
          </w:tcPr>
          <w:p w14:paraId="01C1A29B">
            <w:pPr>
              <w:widowControl/>
              <w:jc w:val="left"/>
              <w:rPr>
                <w:rFonts w:ascii="仿宋" w:hAnsi="仿宋" w:cs="仿宋"/>
                <w:color w:val="000000" w:themeColor="text1"/>
                <w:highlight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cBorders>
            <w:vAlign w:val="center"/>
          </w:tcPr>
          <w:p w14:paraId="1C2CA18A">
            <w:pPr>
              <w:adjustRightInd w:val="0"/>
              <w:snapToGrid w:val="0"/>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被管理关系单位名称</w:t>
            </w:r>
          </w:p>
        </w:tc>
        <w:tc>
          <w:tcPr>
            <w:tcW w:w="3826" w:type="dxa"/>
            <w:tcBorders>
              <w:top w:val="single" w:color="auto" w:sz="4" w:space="0"/>
              <w:left w:val="single" w:color="auto" w:sz="4" w:space="0"/>
              <w:bottom w:val="single" w:color="auto" w:sz="4" w:space="0"/>
              <w:right w:val="single" w:color="auto" w:sz="4" w:space="0"/>
            </w:tcBorders>
            <w:vAlign w:val="center"/>
          </w:tcPr>
          <w:p w14:paraId="2C3944C9">
            <w:pPr>
              <w:adjustRightInd w:val="0"/>
              <w:snapToGrid w:val="0"/>
              <w:spacing w:line="360" w:lineRule="auto"/>
              <w:rPr>
                <w:rFonts w:ascii="仿宋" w:hAnsi="仿宋" w:cs="仿宋"/>
                <w:color w:val="000000" w:themeColor="text1"/>
                <w:highlight w:val="none"/>
                <w14:textFill>
                  <w14:solidFill>
                    <w14:schemeClr w14:val="tx1"/>
                  </w14:solidFill>
                </w14:textFill>
              </w:rPr>
            </w:pPr>
          </w:p>
        </w:tc>
      </w:tr>
      <w:tr w14:paraId="5D11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365" w:type="dxa"/>
            <w:gridSpan w:val="3"/>
            <w:tcBorders>
              <w:top w:val="single" w:color="auto" w:sz="4" w:space="0"/>
              <w:left w:val="single" w:color="auto" w:sz="4" w:space="0"/>
              <w:bottom w:val="single" w:color="auto" w:sz="4" w:space="0"/>
              <w:right w:val="single" w:color="auto" w:sz="4" w:space="0"/>
            </w:tcBorders>
            <w:vAlign w:val="center"/>
          </w:tcPr>
          <w:p w14:paraId="45F1EBDC">
            <w:pPr>
              <w:adjustRightInd w:val="0"/>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备注：</w:t>
            </w:r>
          </w:p>
        </w:tc>
      </w:tr>
    </w:tbl>
    <w:p w14:paraId="7AF7DCDC">
      <w:pPr>
        <w:pStyle w:val="98"/>
        <w:adjustRightInd w:val="0"/>
        <w:snapToGrid w:val="0"/>
        <w:spacing w:line="360" w:lineRule="auto"/>
        <w:ind w:firstLine="0"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w:t>
      </w:r>
    </w:p>
    <w:p w14:paraId="66DC5FD0">
      <w:pPr>
        <w:pStyle w:val="98"/>
        <w:numPr>
          <w:ilvl w:val="3"/>
          <w:numId w:val="80"/>
        </w:numPr>
        <w:adjustRightInd w:val="0"/>
        <w:snapToGrid w:val="0"/>
        <w:spacing w:line="360" w:lineRule="auto"/>
        <w:ind w:left="0" w:firstLine="48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投标人的控股股东/投资人是指出资比例在50%以上，或者出资比例不足50%，但享有公司股东会/董事会控制权的投资方（含单位或者个人）；</w:t>
      </w:r>
    </w:p>
    <w:p w14:paraId="029C3D1A">
      <w:pPr>
        <w:pStyle w:val="98"/>
        <w:numPr>
          <w:ilvl w:val="3"/>
          <w:numId w:val="80"/>
        </w:numPr>
        <w:adjustRightInd w:val="0"/>
        <w:snapToGrid w:val="0"/>
        <w:spacing w:line="360" w:lineRule="auto"/>
        <w:ind w:left="0" w:firstLine="48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“管理关系单位”中的管理关系，是指与投标人不具有出资持股关系，但存在管理与被管理关系的其他单位； </w:t>
      </w:r>
    </w:p>
    <w:p w14:paraId="567EB647">
      <w:pPr>
        <w:pStyle w:val="98"/>
        <w:numPr>
          <w:ilvl w:val="3"/>
          <w:numId w:val="80"/>
        </w:numPr>
        <w:adjustRightInd w:val="0"/>
        <w:snapToGrid w:val="0"/>
        <w:spacing w:line="360" w:lineRule="auto"/>
        <w:ind w:left="0" w:firstLine="48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“管理关系单位”可仅填写与本项目相关的单位名称；</w:t>
      </w:r>
    </w:p>
    <w:p w14:paraId="1C59AE85">
      <w:pPr>
        <w:pStyle w:val="98"/>
        <w:numPr>
          <w:ilvl w:val="3"/>
          <w:numId w:val="80"/>
        </w:numPr>
        <w:adjustRightInd w:val="0"/>
        <w:snapToGrid w:val="0"/>
        <w:spacing w:line="360" w:lineRule="auto"/>
        <w:ind w:left="0" w:firstLine="48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如无相关情况，请在相应栏填写“无”。</w:t>
      </w:r>
    </w:p>
    <w:p w14:paraId="3502478C">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540068B9">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投标人授权代表签字：</w:t>
      </w:r>
      <w:r>
        <w:rPr>
          <w:rFonts w:hint="eastAsia" w:ascii="仿宋" w:hAnsi="仿宋" w:cs="仿宋"/>
          <w:color w:val="000000" w:themeColor="text1"/>
          <w:highlight w:val="none"/>
          <w:u w:val="single"/>
          <w14:textFill>
            <w14:solidFill>
              <w14:schemeClr w14:val="tx1"/>
            </w14:solidFill>
          </w14:textFill>
        </w:rPr>
        <w:t xml:space="preserve">                        </w:t>
      </w:r>
    </w:p>
    <w:p w14:paraId="4677D3A3">
      <w:pPr>
        <w:pStyle w:val="27"/>
        <w:rPr>
          <w:rFonts w:ascii="仿宋" w:hAnsi="仿宋" w:cs="仿宋"/>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07CF2A9">
      <w:pPr>
        <w:outlineLvl w:val="0"/>
        <w:rPr>
          <w:rStyle w:val="62"/>
          <w:rFonts w:ascii="仿宋" w:hAnsi="仿宋" w:eastAsia="仿宋" w:cs="仿宋"/>
          <w:bCs w:val="0"/>
          <w:color w:val="000000" w:themeColor="text1"/>
          <w:sz w:val="24"/>
          <w:szCs w:val="24"/>
          <w:highlight w:val="none"/>
          <w14:textFill>
            <w14:solidFill>
              <w14:schemeClr w14:val="tx1"/>
            </w14:solidFill>
          </w14:textFill>
        </w:rPr>
      </w:pPr>
      <w:bookmarkStart w:id="522" w:name="_Toc149230441"/>
      <w:bookmarkStart w:id="523" w:name="_Toc148111134"/>
      <w:bookmarkStart w:id="524" w:name="_Toc148111028"/>
      <w:bookmarkStart w:id="525" w:name="_Toc9733"/>
      <w:bookmarkStart w:id="526" w:name="_Toc4416683"/>
      <w:bookmarkStart w:id="527" w:name="_Toc150933670"/>
      <w:r>
        <w:rPr>
          <w:rStyle w:val="62"/>
          <w:rFonts w:hint="eastAsia" w:ascii="仿宋" w:hAnsi="仿宋" w:eastAsia="仿宋" w:cs="仿宋"/>
          <w:bCs w:val="0"/>
          <w:color w:val="000000" w:themeColor="text1"/>
          <w:sz w:val="24"/>
          <w:szCs w:val="24"/>
          <w:highlight w:val="none"/>
          <w14:textFill>
            <w14:solidFill>
              <w14:schemeClr w14:val="tx1"/>
            </w14:solidFill>
          </w14:textFill>
        </w:rPr>
        <w:t>附件1</w:t>
      </w:r>
      <w:r>
        <w:rPr>
          <w:rStyle w:val="62"/>
          <w:rFonts w:ascii="仿宋" w:hAnsi="仿宋" w:eastAsia="仿宋" w:cs="仿宋"/>
          <w:bCs w:val="0"/>
          <w:color w:val="000000" w:themeColor="text1"/>
          <w:sz w:val="24"/>
          <w:szCs w:val="24"/>
          <w:highlight w:val="none"/>
          <w14:textFill>
            <w14:solidFill>
              <w14:schemeClr w14:val="tx1"/>
            </w14:solidFill>
          </w14:textFill>
        </w:rPr>
        <w:t>4</w:t>
      </w:r>
      <w:r>
        <w:rPr>
          <w:rStyle w:val="62"/>
          <w:rFonts w:hint="eastAsia" w:ascii="仿宋" w:hAnsi="仿宋" w:eastAsia="仿宋" w:cs="仿宋"/>
          <w:bCs w:val="0"/>
          <w:color w:val="000000" w:themeColor="text1"/>
          <w:sz w:val="24"/>
          <w:szCs w:val="24"/>
          <w:highlight w:val="none"/>
          <w14:textFill>
            <w14:solidFill>
              <w14:schemeClr w14:val="tx1"/>
            </w14:solidFill>
          </w14:textFill>
        </w:rPr>
        <w:t xml:space="preserve"> 制造商针对本项目授权书</w:t>
      </w:r>
      <w:bookmarkEnd w:id="522"/>
      <w:bookmarkEnd w:id="523"/>
      <w:bookmarkEnd w:id="524"/>
      <w:bookmarkEnd w:id="525"/>
      <w:bookmarkEnd w:id="526"/>
      <w:bookmarkEnd w:id="527"/>
    </w:p>
    <w:p w14:paraId="02183214">
      <w:pPr>
        <w:pStyle w:val="32"/>
        <w:spacing w:after="0"/>
        <w:ind w:left="480" w:firstLine="640"/>
        <w:rPr>
          <w:rFonts w:ascii="仿宋" w:hAnsi="仿宋"/>
          <w:color w:val="000000" w:themeColor="text1"/>
          <w:highlight w:val="none"/>
          <w14:textFill>
            <w14:solidFill>
              <w14:schemeClr w14:val="tx1"/>
            </w14:solidFill>
          </w14:textFill>
        </w:rPr>
      </w:pPr>
    </w:p>
    <w:p w14:paraId="745D2313">
      <w:pPr>
        <w:widowControl/>
        <w:jc w:val="left"/>
        <w:rPr>
          <w:rFonts w:ascii="仿宋" w:hAnsi="仿宋" w:cs="仿宋"/>
          <w:bCs/>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授权书参考格式如下：</w:t>
      </w:r>
    </w:p>
    <w:p w14:paraId="39570110">
      <w:p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致:[        ]</w:t>
      </w:r>
    </w:p>
    <w:p w14:paraId="6CBAE908">
      <w:p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我们[制造商名称]是按[国家名称]法律成立的一家制造商,主要营业地点设在[制造商地址]。兹指派按[国家名称]的法律正式成立的,主要营业地点设在[供应商地址]的[供应商名称]作为我方真正的和合法的代理人进行下列有效的活动:</w:t>
      </w:r>
    </w:p>
    <w:p w14:paraId="294320E7">
      <w:pPr>
        <w:numPr>
          <w:ilvl w:val="0"/>
          <w:numId w:val="81"/>
        </w:num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代表我方在中华人民共和国办理贵方</w:t>
      </w:r>
      <w:r>
        <w:rPr>
          <w:rFonts w:hint="eastAsia" w:ascii="仿宋" w:hAnsi="仿宋" w:cs="仿宋"/>
          <w:color w:val="000000" w:themeColor="text1"/>
          <w:szCs w:val="16"/>
          <w:highlight w:val="none"/>
          <w:u w:val="single"/>
          <w14:textFill>
            <w14:solidFill>
              <w14:schemeClr w14:val="tx1"/>
            </w14:solidFill>
          </w14:textFill>
        </w:rPr>
        <w:t xml:space="preserve">       </w:t>
      </w:r>
      <w:r>
        <w:rPr>
          <w:rFonts w:hint="eastAsia" w:ascii="仿宋" w:hAnsi="仿宋" w:cs="仿宋"/>
          <w:color w:val="000000" w:themeColor="text1"/>
          <w:szCs w:val="16"/>
          <w:highlight w:val="none"/>
          <w14:textFill>
            <w14:solidFill>
              <w14:schemeClr w14:val="tx1"/>
            </w14:solidFill>
          </w14:textFill>
        </w:rPr>
        <w:t>项目采购邀请要求提供的由我方制造的产品的有关事宜,并对我方具有约束力。</w:t>
      </w:r>
    </w:p>
    <w:p w14:paraId="238B0095">
      <w:pPr>
        <w:numPr>
          <w:ilvl w:val="0"/>
          <w:numId w:val="81"/>
        </w:num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作为制造商,我方保证以采购合作者来约束自己,并对该采购共同和分别承担采购文件中所规定的义务。</w:t>
      </w:r>
    </w:p>
    <w:p w14:paraId="48B7BFC9">
      <w:pPr>
        <w:numPr>
          <w:ilvl w:val="0"/>
          <w:numId w:val="81"/>
        </w:num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我方兹授予[供应商名称]全权办理和履行上述我方为完成上述各点所必须的事宜,具有替换或撤销的全权。</w:t>
      </w:r>
    </w:p>
    <w:p w14:paraId="003C869C">
      <w:pPr>
        <w:numPr>
          <w:ilvl w:val="0"/>
          <w:numId w:val="81"/>
        </w:num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兹确认[供应商名称]或其正式授权代表依此合法地办理一切事宜。</w:t>
      </w:r>
    </w:p>
    <w:p w14:paraId="0FDB0D57">
      <w:p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我方于20[  ]年[  ]月[  ]日签署本文件,以此为证。</w:t>
      </w:r>
    </w:p>
    <w:p w14:paraId="04312338">
      <w:pPr>
        <w:pStyle w:val="15"/>
        <w:spacing w:line="360" w:lineRule="auto"/>
        <w:rPr>
          <w:rFonts w:ascii="仿宋" w:hAnsi="仿宋" w:cs="仿宋"/>
          <w:color w:val="000000" w:themeColor="text1"/>
          <w:szCs w:val="24"/>
          <w:highlight w:val="none"/>
          <w14:textFill>
            <w14:solidFill>
              <w14:schemeClr w14:val="tx1"/>
            </w14:solidFill>
          </w14:textFill>
        </w:rPr>
      </w:pPr>
    </w:p>
    <w:p w14:paraId="227B8CEA">
      <w:pPr>
        <w:pStyle w:val="15"/>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供应商名称（盖章）</w:t>
      </w:r>
      <w:r>
        <w:rPr>
          <w:rFonts w:hint="eastAsia" w:ascii="仿宋" w:hAnsi="仿宋" w:cs="仿宋"/>
          <w:color w:val="000000" w:themeColor="text1"/>
          <w:szCs w:val="24"/>
          <w:highlight w:val="none"/>
          <w:u w:val="single"/>
          <w14:textFill>
            <w14:solidFill>
              <w14:schemeClr w14:val="tx1"/>
            </w14:solidFill>
          </w14:textFill>
        </w:rPr>
        <w:t xml:space="preserve">                </w:t>
      </w:r>
      <w:r>
        <w:rPr>
          <w:rFonts w:hint="eastAsia" w:ascii="仿宋" w:hAnsi="仿宋" w:cs="仿宋"/>
          <w:color w:val="000000" w:themeColor="text1"/>
          <w:szCs w:val="24"/>
          <w:highlight w:val="none"/>
          <w14:textFill>
            <w14:solidFill>
              <w14:schemeClr w14:val="tx1"/>
            </w14:solidFill>
          </w14:textFill>
        </w:rPr>
        <w:t xml:space="preserve">     制造商名称（盖章）</w:t>
      </w:r>
      <w:r>
        <w:rPr>
          <w:rFonts w:hint="eastAsia" w:ascii="仿宋" w:hAnsi="仿宋" w:cs="仿宋"/>
          <w:color w:val="000000" w:themeColor="text1"/>
          <w:szCs w:val="24"/>
          <w:highlight w:val="none"/>
          <w:u w:val="single"/>
          <w14:textFill>
            <w14:solidFill>
              <w14:schemeClr w14:val="tx1"/>
            </w14:solidFill>
          </w14:textFill>
        </w:rPr>
        <w:t>_______________</w:t>
      </w:r>
    </w:p>
    <w:p w14:paraId="7D4389F1">
      <w:pPr>
        <w:pStyle w:val="15"/>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签字人职务和部门</w:t>
      </w:r>
      <w:r>
        <w:rPr>
          <w:rFonts w:hint="eastAsia" w:ascii="仿宋" w:hAnsi="仿宋" w:cs="仿宋"/>
          <w:color w:val="000000" w:themeColor="text1"/>
          <w:szCs w:val="24"/>
          <w:highlight w:val="none"/>
          <w:u w:val="single"/>
          <w14:textFill>
            <w14:solidFill>
              <w14:schemeClr w14:val="tx1"/>
            </w14:solidFill>
          </w14:textFill>
        </w:rPr>
        <w:t xml:space="preserve">                    </w:t>
      </w:r>
      <w:r>
        <w:rPr>
          <w:rFonts w:hint="eastAsia" w:ascii="仿宋" w:hAnsi="仿宋" w:cs="仿宋"/>
          <w:color w:val="000000" w:themeColor="text1"/>
          <w:szCs w:val="24"/>
          <w:highlight w:val="none"/>
          <w14:textFill>
            <w14:solidFill>
              <w14:schemeClr w14:val="tx1"/>
            </w14:solidFill>
          </w14:textFill>
        </w:rPr>
        <w:t xml:space="preserve">   签字人职务和部门</w:t>
      </w:r>
      <w:r>
        <w:rPr>
          <w:rFonts w:hint="eastAsia" w:ascii="仿宋" w:hAnsi="仿宋" w:cs="仿宋"/>
          <w:color w:val="000000" w:themeColor="text1"/>
          <w:szCs w:val="24"/>
          <w:highlight w:val="none"/>
          <w:u w:val="single"/>
          <w14:textFill>
            <w14:solidFill>
              <w14:schemeClr w14:val="tx1"/>
            </w14:solidFill>
          </w14:textFill>
        </w:rPr>
        <w:t xml:space="preserve">               </w:t>
      </w:r>
    </w:p>
    <w:p w14:paraId="70B08EB7">
      <w:pPr>
        <w:pStyle w:val="15"/>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签字人姓名</w:t>
      </w:r>
      <w:r>
        <w:rPr>
          <w:rFonts w:hint="eastAsia" w:ascii="仿宋" w:hAnsi="仿宋" w:cs="仿宋"/>
          <w:color w:val="000000" w:themeColor="text1"/>
          <w:szCs w:val="24"/>
          <w:highlight w:val="none"/>
          <w:u w:val="single"/>
          <w14:textFill>
            <w14:solidFill>
              <w14:schemeClr w14:val="tx1"/>
            </w14:solidFill>
          </w14:textFill>
        </w:rPr>
        <w:t xml:space="preserve">                          </w:t>
      </w:r>
      <w:r>
        <w:rPr>
          <w:rFonts w:hint="eastAsia" w:ascii="仿宋" w:hAnsi="仿宋" w:cs="仿宋"/>
          <w:color w:val="000000" w:themeColor="text1"/>
          <w:szCs w:val="24"/>
          <w:highlight w:val="none"/>
          <w14:textFill>
            <w14:solidFill>
              <w14:schemeClr w14:val="tx1"/>
            </w14:solidFill>
          </w14:textFill>
        </w:rPr>
        <w:t xml:space="preserve">   签字人姓名</w:t>
      </w:r>
      <w:r>
        <w:rPr>
          <w:rFonts w:hint="eastAsia" w:ascii="仿宋" w:hAnsi="仿宋" w:cs="仿宋"/>
          <w:color w:val="000000" w:themeColor="text1"/>
          <w:szCs w:val="24"/>
          <w:highlight w:val="none"/>
          <w:u w:val="single"/>
          <w14:textFill>
            <w14:solidFill>
              <w14:schemeClr w14:val="tx1"/>
            </w14:solidFill>
          </w14:textFill>
        </w:rPr>
        <w:t xml:space="preserve">                           </w:t>
      </w:r>
    </w:p>
    <w:p w14:paraId="49B8E02F">
      <w:pPr>
        <w:pStyle w:val="15"/>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签字人签名</w:t>
      </w:r>
      <w:r>
        <w:rPr>
          <w:rFonts w:hint="eastAsia" w:ascii="仿宋" w:hAnsi="仿宋" w:cs="仿宋"/>
          <w:color w:val="000000" w:themeColor="text1"/>
          <w:szCs w:val="24"/>
          <w:highlight w:val="none"/>
          <w:u w:val="single"/>
          <w14:textFill>
            <w14:solidFill>
              <w14:schemeClr w14:val="tx1"/>
            </w14:solidFill>
          </w14:textFill>
        </w:rPr>
        <w:t xml:space="preserve">                          </w:t>
      </w:r>
      <w:r>
        <w:rPr>
          <w:rFonts w:hint="eastAsia" w:ascii="仿宋" w:hAnsi="仿宋" w:cs="仿宋"/>
          <w:color w:val="000000" w:themeColor="text1"/>
          <w:szCs w:val="24"/>
          <w:highlight w:val="none"/>
          <w14:textFill>
            <w14:solidFill>
              <w14:schemeClr w14:val="tx1"/>
            </w14:solidFill>
          </w14:textFill>
        </w:rPr>
        <w:t xml:space="preserve">   签字人签名</w:t>
      </w:r>
      <w:r>
        <w:rPr>
          <w:rFonts w:hint="eastAsia" w:ascii="仿宋" w:hAnsi="仿宋" w:cs="仿宋"/>
          <w:color w:val="000000" w:themeColor="text1"/>
          <w:szCs w:val="24"/>
          <w:highlight w:val="none"/>
          <w:u w:val="single"/>
          <w14:textFill>
            <w14:solidFill>
              <w14:schemeClr w14:val="tx1"/>
            </w14:solidFill>
          </w14:textFill>
        </w:rPr>
        <w:t xml:space="preserve">                           </w:t>
      </w:r>
    </w:p>
    <w:p w14:paraId="436E1086">
      <w:p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 xml:space="preserve"> </w:t>
      </w:r>
    </w:p>
    <w:p w14:paraId="47CF4B9D">
      <w:pPr>
        <w:widowControl/>
        <w:jc w:val="left"/>
        <w:rPr>
          <w:rFonts w:ascii="仿宋" w:hAnsi="仿宋" w:cs="仿宋"/>
          <w:bCs/>
          <w:color w:val="000000" w:themeColor="text1"/>
          <w:highlight w:val="none"/>
          <w:u w:val="single"/>
          <w14:textFill>
            <w14:solidFill>
              <w14:schemeClr w14:val="tx1"/>
            </w14:solidFill>
          </w14:textFill>
        </w:rPr>
      </w:pPr>
    </w:p>
    <w:p w14:paraId="76EB45BB">
      <w:pPr>
        <w:spacing w:line="360" w:lineRule="auto"/>
        <w:jc w:val="left"/>
        <w:rPr>
          <w:rFonts w:ascii="仿宋" w:hAnsi="仿宋" w:cs="仿宋"/>
          <w:color w:val="000000" w:themeColor="text1"/>
          <w:szCs w:val="16"/>
          <w:highlight w:val="none"/>
          <w14:textFill>
            <w14:solidFill>
              <w14:schemeClr w14:val="tx1"/>
            </w14:solidFill>
          </w14:textFill>
        </w:rPr>
      </w:pPr>
    </w:p>
    <w:p w14:paraId="45A83F47">
      <w:p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备注：</w:t>
      </w:r>
    </w:p>
    <w:p w14:paraId="4DAD30A8">
      <w:pPr>
        <w:numPr>
          <w:ilvl w:val="0"/>
          <w:numId w:val="82"/>
        </w:numPr>
        <w:spacing w:line="360" w:lineRule="auto"/>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格式自拟，须同时加盖被邀请谈判人公章及制造商公章。如被邀请谈判人为制造商可不提供。</w:t>
      </w:r>
    </w:p>
    <w:p w14:paraId="0F7AFAD4">
      <w:pPr>
        <w:numPr>
          <w:ilvl w:val="0"/>
          <w:numId w:val="82"/>
        </w:numPr>
        <w:spacing w:line="360" w:lineRule="auto"/>
        <w:rPr>
          <w:rFonts w:ascii="仿宋" w:hAnsi="仿宋" w:cs="仿宋"/>
          <w:bCs/>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所报主要货物的制造商须分别提供此“制造商针对本项目授权书”，如所报主要货物均为同一制造商，只需提供一份“制造商针对本项目授权书”。</w:t>
      </w:r>
    </w:p>
    <w:p w14:paraId="7CA5404D">
      <w:pPr>
        <w:widowControl/>
        <w:jc w:val="left"/>
        <w:rPr>
          <w:rFonts w:ascii="仿宋" w:hAnsi="仿宋" w:cs="仿宋"/>
          <w:bCs/>
          <w:color w:val="000000" w:themeColor="text1"/>
          <w:highlight w:val="none"/>
          <w:u w:val="single"/>
          <w14:textFill>
            <w14:solidFill>
              <w14:schemeClr w14:val="tx1"/>
            </w14:solidFill>
          </w14:textFill>
        </w:rPr>
      </w:pPr>
    </w:p>
    <w:p w14:paraId="16DC16B7">
      <w:pPr>
        <w:rPr>
          <w:rFonts w:ascii="仿宋" w:hAnsi="仿宋" w:cs="仿宋"/>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仿宋" w:hAnsi="仿宋" w:cs="仿宋"/>
          <w:color w:val="000000" w:themeColor="text1"/>
          <w:highlight w:val="none"/>
          <w14:textFill>
            <w14:solidFill>
              <w14:schemeClr w14:val="tx1"/>
            </w14:solidFill>
          </w14:textFill>
        </w:rPr>
        <w:br w:type="page"/>
      </w:r>
    </w:p>
    <w:p w14:paraId="064E26DA">
      <w:pPr>
        <w:jc w:val="center"/>
        <w:outlineLvl w:val="0"/>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bookmarkStart w:id="528" w:name="_Toc17504"/>
      <w:bookmarkStart w:id="529" w:name="_Toc2977"/>
      <w:bookmarkStart w:id="530" w:name="_Toc21247"/>
      <w:bookmarkStart w:id="531" w:name="_Toc108796180"/>
      <w:bookmarkStart w:id="532" w:name="_Toc12035"/>
      <w:bookmarkStart w:id="533" w:name="_Toc19098"/>
      <w:bookmarkStart w:id="534" w:name="_Toc13280"/>
      <w:bookmarkStart w:id="535" w:name="_Toc24408"/>
      <w:bookmarkStart w:id="536" w:name="_Toc3346"/>
      <w:bookmarkStart w:id="537" w:name="_Toc11638"/>
      <w:bookmarkStart w:id="538" w:name="_Toc150933653"/>
      <w:bookmarkStart w:id="539" w:name="_Toc149230433"/>
      <w:r>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t>原厂质保承诺书</w:t>
      </w:r>
      <w:bookmarkEnd w:id="528"/>
    </w:p>
    <w:p w14:paraId="1F5453F3">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p>
    <w:p w14:paraId="541EC214">
      <w:p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致:[        ]</w:t>
      </w:r>
    </w:p>
    <w:p w14:paraId="43EB36FD">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p>
    <w:p w14:paraId="11EB1A18">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r>
        <w:rPr>
          <w:rStyle w:val="62"/>
          <w:rFonts w:hint="eastAsia" w:ascii="仿宋" w:hAnsi="仿宋" w:cs="仿宋"/>
          <w:bCs w:val="0"/>
          <w:color w:val="000000" w:themeColor="text1"/>
          <w:sz w:val="24"/>
          <w:szCs w:val="24"/>
          <w:highlight w:val="none"/>
          <w:lang w:eastAsia="zh-CN"/>
          <w14:textFill>
            <w14:solidFill>
              <w14:schemeClr w14:val="tx1"/>
            </w14:solidFill>
          </w14:textFill>
        </w:rPr>
        <w:t>格式和内容自拟。</w:t>
      </w:r>
    </w:p>
    <w:p w14:paraId="506AED22">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p>
    <w:p w14:paraId="3AA88D0E">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p>
    <w:p w14:paraId="619FB55B">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p>
    <w:p w14:paraId="5ECB42CC">
      <w:pPr>
        <w:pStyle w:val="15"/>
        <w:spacing w:line="360" w:lineRule="auto"/>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供应商名称（盖章）</w:t>
      </w:r>
      <w:r>
        <w:rPr>
          <w:rFonts w:hint="eastAsia" w:ascii="仿宋" w:hAnsi="仿宋" w:cs="仿宋"/>
          <w:color w:val="000000" w:themeColor="text1"/>
          <w:szCs w:val="24"/>
          <w:highlight w:val="none"/>
          <w:u w:val="single"/>
          <w14:textFill>
            <w14:solidFill>
              <w14:schemeClr w14:val="tx1"/>
            </w14:solidFill>
          </w14:textFill>
        </w:rPr>
        <w:t xml:space="preserve">                </w:t>
      </w:r>
      <w:r>
        <w:rPr>
          <w:rFonts w:hint="eastAsia" w:ascii="仿宋" w:hAnsi="仿宋" w:cs="仿宋"/>
          <w:color w:val="000000" w:themeColor="text1"/>
          <w:szCs w:val="24"/>
          <w:highlight w:val="none"/>
          <w14:textFill>
            <w14:solidFill>
              <w14:schemeClr w14:val="tx1"/>
            </w14:solidFill>
          </w14:textFill>
        </w:rPr>
        <w:t xml:space="preserve">     制造商名称（盖章）</w:t>
      </w:r>
      <w:r>
        <w:rPr>
          <w:rFonts w:hint="eastAsia" w:ascii="仿宋" w:hAnsi="仿宋" w:cs="仿宋"/>
          <w:color w:val="000000" w:themeColor="text1"/>
          <w:szCs w:val="24"/>
          <w:highlight w:val="none"/>
          <w:u w:val="single"/>
          <w14:textFill>
            <w14:solidFill>
              <w14:schemeClr w14:val="tx1"/>
            </w14:solidFill>
          </w14:textFill>
        </w:rPr>
        <w:t>_______________</w:t>
      </w:r>
    </w:p>
    <w:p w14:paraId="1F914DA0">
      <w:pPr>
        <w:pStyle w:val="15"/>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签字人职务和部门</w:t>
      </w:r>
      <w:r>
        <w:rPr>
          <w:rFonts w:hint="eastAsia" w:ascii="仿宋" w:hAnsi="仿宋" w:cs="仿宋"/>
          <w:color w:val="000000" w:themeColor="text1"/>
          <w:szCs w:val="24"/>
          <w:highlight w:val="none"/>
          <w:u w:val="single"/>
          <w14:textFill>
            <w14:solidFill>
              <w14:schemeClr w14:val="tx1"/>
            </w14:solidFill>
          </w14:textFill>
        </w:rPr>
        <w:t xml:space="preserve">                    </w:t>
      </w:r>
      <w:r>
        <w:rPr>
          <w:rFonts w:hint="eastAsia" w:ascii="仿宋" w:hAnsi="仿宋" w:cs="仿宋"/>
          <w:color w:val="000000" w:themeColor="text1"/>
          <w:szCs w:val="24"/>
          <w:highlight w:val="none"/>
          <w14:textFill>
            <w14:solidFill>
              <w14:schemeClr w14:val="tx1"/>
            </w14:solidFill>
          </w14:textFill>
        </w:rPr>
        <w:t xml:space="preserve">   签字人职务和部门</w:t>
      </w:r>
      <w:r>
        <w:rPr>
          <w:rFonts w:hint="eastAsia" w:ascii="仿宋" w:hAnsi="仿宋" w:cs="仿宋"/>
          <w:color w:val="000000" w:themeColor="text1"/>
          <w:szCs w:val="24"/>
          <w:highlight w:val="none"/>
          <w:u w:val="single"/>
          <w14:textFill>
            <w14:solidFill>
              <w14:schemeClr w14:val="tx1"/>
            </w14:solidFill>
          </w14:textFill>
        </w:rPr>
        <w:t xml:space="preserve">               </w:t>
      </w:r>
    </w:p>
    <w:p w14:paraId="3813C0BB">
      <w:pPr>
        <w:pStyle w:val="15"/>
        <w:spacing w:line="360" w:lineRule="auto"/>
        <w:rPr>
          <w:rFonts w:ascii="仿宋" w:hAnsi="仿宋" w:cs="仿宋"/>
          <w:color w:val="000000" w:themeColor="text1"/>
          <w:szCs w:val="24"/>
          <w:highlight w:val="none"/>
          <w:u w:val="singl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签字人姓名</w:t>
      </w:r>
      <w:r>
        <w:rPr>
          <w:rFonts w:hint="eastAsia" w:ascii="仿宋" w:hAnsi="仿宋" w:cs="仿宋"/>
          <w:color w:val="000000" w:themeColor="text1"/>
          <w:szCs w:val="24"/>
          <w:highlight w:val="none"/>
          <w:u w:val="single"/>
          <w14:textFill>
            <w14:solidFill>
              <w14:schemeClr w14:val="tx1"/>
            </w14:solidFill>
          </w14:textFill>
        </w:rPr>
        <w:t xml:space="preserve">                          </w:t>
      </w:r>
      <w:r>
        <w:rPr>
          <w:rFonts w:hint="eastAsia" w:ascii="仿宋" w:hAnsi="仿宋" w:cs="仿宋"/>
          <w:color w:val="000000" w:themeColor="text1"/>
          <w:szCs w:val="24"/>
          <w:highlight w:val="none"/>
          <w14:textFill>
            <w14:solidFill>
              <w14:schemeClr w14:val="tx1"/>
            </w14:solidFill>
          </w14:textFill>
        </w:rPr>
        <w:t xml:space="preserve">   签字人姓名</w:t>
      </w:r>
      <w:r>
        <w:rPr>
          <w:rFonts w:hint="eastAsia" w:ascii="仿宋" w:hAnsi="仿宋" w:cs="仿宋"/>
          <w:color w:val="000000" w:themeColor="text1"/>
          <w:szCs w:val="24"/>
          <w:highlight w:val="none"/>
          <w:u w:val="single"/>
          <w14:textFill>
            <w14:solidFill>
              <w14:schemeClr w14:val="tx1"/>
            </w14:solidFill>
          </w14:textFill>
        </w:rPr>
        <w:t xml:space="preserve">                           </w:t>
      </w:r>
    </w:p>
    <w:p w14:paraId="4FEA06C9">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签字人签名</w:t>
      </w:r>
      <w:r>
        <w:rPr>
          <w:rFonts w:hint="eastAsia" w:ascii="仿宋" w:hAnsi="仿宋" w:cs="仿宋"/>
          <w:color w:val="000000" w:themeColor="text1"/>
          <w:szCs w:val="24"/>
          <w:highlight w:val="none"/>
          <w:u w:val="single"/>
          <w14:textFill>
            <w14:solidFill>
              <w14:schemeClr w14:val="tx1"/>
            </w14:solidFill>
          </w14:textFill>
        </w:rPr>
        <w:t xml:space="preserve">                          </w:t>
      </w:r>
      <w:r>
        <w:rPr>
          <w:rFonts w:hint="eastAsia" w:ascii="仿宋" w:hAnsi="仿宋" w:cs="仿宋"/>
          <w:color w:val="000000" w:themeColor="text1"/>
          <w:szCs w:val="24"/>
          <w:highlight w:val="none"/>
          <w14:textFill>
            <w14:solidFill>
              <w14:schemeClr w14:val="tx1"/>
            </w14:solidFill>
          </w14:textFill>
        </w:rPr>
        <w:t xml:space="preserve">   签字人签名</w:t>
      </w:r>
      <w:r>
        <w:rPr>
          <w:rFonts w:hint="eastAsia" w:ascii="仿宋" w:hAnsi="仿宋" w:cs="仿宋"/>
          <w:color w:val="000000" w:themeColor="text1"/>
          <w:szCs w:val="24"/>
          <w:highlight w:val="none"/>
          <w:u w:val="single"/>
          <w14:textFill>
            <w14:solidFill>
              <w14:schemeClr w14:val="tx1"/>
            </w14:solidFill>
          </w14:textFill>
        </w:rPr>
        <w:t xml:space="preserve">                           </w:t>
      </w:r>
    </w:p>
    <w:p w14:paraId="5280AE9D">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p>
    <w:p w14:paraId="1047AE60">
      <w:pPr>
        <w:spacing w:line="360" w:lineRule="auto"/>
        <w:jc w:val="left"/>
        <w:rPr>
          <w:rFonts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14:textFill>
            <w14:solidFill>
              <w14:schemeClr w14:val="tx1"/>
            </w14:solidFill>
          </w14:textFill>
        </w:rPr>
        <w:t>备注：</w:t>
      </w:r>
    </w:p>
    <w:p w14:paraId="07822DAA">
      <w:pPr>
        <w:numPr>
          <w:ilvl w:val="0"/>
          <w:numId w:val="0"/>
        </w:numPr>
        <w:spacing w:line="360" w:lineRule="auto"/>
        <w:rPr>
          <w:rFonts w:hint="eastAsia" w:ascii="仿宋" w:hAnsi="仿宋" w:cs="仿宋"/>
          <w:color w:val="000000" w:themeColor="text1"/>
          <w:szCs w:val="16"/>
          <w:highlight w:val="none"/>
          <w14:textFill>
            <w14:solidFill>
              <w14:schemeClr w14:val="tx1"/>
            </w14:solidFill>
          </w14:textFill>
        </w:rPr>
      </w:pPr>
      <w:r>
        <w:rPr>
          <w:rFonts w:hint="eastAsia" w:ascii="仿宋" w:hAnsi="仿宋" w:cs="仿宋"/>
          <w:color w:val="000000" w:themeColor="text1"/>
          <w:szCs w:val="16"/>
          <w:highlight w:val="none"/>
          <w:lang w:val="en-US" w:eastAsia="zh-CN"/>
          <w14:textFill>
            <w14:solidFill>
              <w14:schemeClr w14:val="tx1"/>
            </w14:solidFill>
          </w14:textFill>
        </w:rPr>
        <w:t>1.内容及</w:t>
      </w:r>
      <w:r>
        <w:rPr>
          <w:rFonts w:hint="eastAsia" w:ascii="仿宋" w:hAnsi="仿宋" w:cs="仿宋"/>
          <w:color w:val="000000" w:themeColor="text1"/>
          <w:szCs w:val="16"/>
          <w:highlight w:val="none"/>
          <w14:textFill>
            <w14:solidFill>
              <w14:schemeClr w14:val="tx1"/>
            </w14:solidFill>
          </w14:textFill>
        </w:rPr>
        <w:t>格式自拟，须同时加盖被邀请谈判人公章及制造商公章。</w:t>
      </w:r>
    </w:p>
    <w:p w14:paraId="499080B3">
      <w:pPr>
        <w:numPr>
          <w:ilvl w:val="0"/>
          <w:numId w:val="0"/>
        </w:numPr>
        <w:spacing w:line="360" w:lineRule="auto"/>
        <w:rPr>
          <w:rFonts w:ascii="仿宋" w:hAnsi="仿宋" w:cs="仿宋"/>
          <w:bCs/>
          <w:color w:val="000000" w:themeColor="text1"/>
          <w:highlight w:val="none"/>
          <w14:textFill>
            <w14:solidFill>
              <w14:schemeClr w14:val="tx1"/>
            </w14:solidFill>
          </w14:textFill>
        </w:rPr>
      </w:pPr>
      <w:r>
        <w:rPr>
          <w:rFonts w:hint="eastAsia" w:ascii="仿宋" w:hAnsi="仿宋" w:cs="仿宋"/>
          <w:bCs/>
          <w:color w:val="000000" w:themeColor="text1"/>
          <w:highlight w:val="none"/>
          <w:lang w:val="en-US" w:eastAsia="zh-CN"/>
          <w14:textFill>
            <w14:solidFill>
              <w14:schemeClr w14:val="tx1"/>
            </w14:solidFill>
          </w14:textFill>
        </w:rPr>
        <w:t>2.</w:t>
      </w:r>
      <w:r>
        <w:rPr>
          <w:rFonts w:hint="eastAsia" w:ascii="仿宋" w:hAnsi="仿宋" w:cs="仿宋"/>
          <w:bCs/>
          <w:color w:val="000000" w:themeColor="text1"/>
          <w:highlight w:val="none"/>
          <w14:textFill>
            <w14:solidFill>
              <w14:schemeClr w14:val="tx1"/>
            </w14:solidFill>
          </w14:textFill>
        </w:rPr>
        <w:t>所报主要货物的制造商须分别提供此“制造商针对本项目</w:t>
      </w:r>
      <w:r>
        <w:rPr>
          <w:rFonts w:hint="eastAsia" w:ascii="仿宋" w:hAnsi="仿宋" w:cs="仿宋"/>
          <w:bCs/>
          <w:color w:val="000000" w:themeColor="text1"/>
          <w:highlight w:val="none"/>
          <w:lang w:eastAsia="zh-CN"/>
          <w14:textFill>
            <w14:solidFill>
              <w14:schemeClr w14:val="tx1"/>
            </w14:solidFill>
          </w14:textFill>
        </w:rPr>
        <w:t>原厂质保承诺书</w:t>
      </w:r>
      <w:r>
        <w:rPr>
          <w:rFonts w:hint="eastAsia" w:ascii="仿宋" w:hAnsi="仿宋" w:cs="仿宋"/>
          <w:bCs/>
          <w:color w:val="000000" w:themeColor="text1"/>
          <w:highlight w:val="none"/>
          <w14:textFill>
            <w14:solidFill>
              <w14:schemeClr w14:val="tx1"/>
            </w14:solidFill>
          </w14:textFill>
        </w:rPr>
        <w:t>”，如所报主要货物均为同一制造商，只需提供一份“制造商针对本项目</w:t>
      </w:r>
      <w:r>
        <w:rPr>
          <w:rFonts w:hint="eastAsia" w:ascii="仿宋" w:hAnsi="仿宋" w:cs="仿宋"/>
          <w:bCs/>
          <w:color w:val="000000" w:themeColor="text1"/>
          <w:highlight w:val="none"/>
          <w:lang w:eastAsia="zh-CN"/>
          <w14:textFill>
            <w14:solidFill>
              <w14:schemeClr w14:val="tx1"/>
            </w14:solidFill>
          </w14:textFill>
        </w:rPr>
        <w:t>原厂质保承诺书</w:t>
      </w:r>
      <w:r>
        <w:rPr>
          <w:rFonts w:hint="eastAsia" w:ascii="仿宋" w:hAnsi="仿宋" w:cs="仿宋"/>
          <w:bCs/>
          <w:color w:val="000000" w:themeColor="text1"/>
          <w:highlight w:val="none"/>
          <w14:textFill>
            <w14:solidFill>
              <w14:schemeClr w14:val="tx1"/>
            </w14:solidFill>
          </w14:textFill>
        </w:rPr>
        <w:t>”。</w:t>
      </w:r>
    </w:p>
    <w:p w14:paraId="3B3E0031">
      <w:pPr>
        <w:pStyle w:val="2"/>
        <w:rPr>
          <w:rStyle w:val="62"/>
          <w:rFonts w:hint="eastAsia" w:ascii="仿宋" w:hAnsi="仿宋" w:eastAsia="仿宋" w:cs="仿宋"/>
          <w:bCs w:val="0"/>
          <w:color w:val="000000" w:themeColor="text1"/>
          <w:sz w:val="24"/>
          <w:szCs w:val="24"/>
          <w:highlight w:val="none"/>
          <w:lang w:eastAsia="zh-CN"/>
          <w14:textFill>
            <w14:solidFill>
              <w14:schemeClr w14:val="tx1"/>
            </w14:solidFill>
          </w14:textFill>
        </w:rPr>
      </w:pPr>
    </w:p>
    <w:p w14:paraId="13F21413">
      <w:pPr>
        <w:rPr>
          <w:rStyle w:val="62"/>
          <w:rFonts w:hint="eastAsia" w:ascii="仿宋" w:hAnsi="仿宋" w:eastAsia="仿宋" w:cs="仿宋"/>
          <w:color w:val="000000" w:themeColor="text1"/>
          <w:sz w:val="24"/>
          <w:szCs w:val="24"/>
          <w:highlight w:val="none"/>
          <w14:textFill>
            <w14:solidFill>
              <w14:schemeClr w14:val="tx1"/>
            </w14:solidFill>
          </w14:textFill>
        </w:rPr>
      </w:pPr>
      <w:r>
        <w:rPr>
          <w:rStyle w:val="62"/>
          <w:rFonts w:hint="eastAsia" w:ascii="仿宋" w:hAnsi="仿宋" w:eastAsia="仿宋" w:cs="仿宋"/>
          <w:color w:val="000000" w:themeColor="text1"/>
          <w:sz w:val="24"/>
          <w:szCs w:val="24"/>
          <w:highlight w:val="none"/>
          <w14:textFill>
            <w14:solidFill>
              <w14:schemeClr w14:val="tx1"/>
            </w14:solidFill>
          </w14:textFill>
        </w:rPr>
        <w:br w:type="page"/>
      </w:r>
    </w:p>
    <w:p w14:paraId="7D41D7BF">
      <w:pPr>
        <w:outlineLvl w:val="0"/>
        <w:rPr>
          <w:rStyle w:val="62"/>
          <w:rFonts w:ascii="仿宋" w:hAnsi="仿宋" w:eastAsia="仿宋" w:cs="仿宋"/>
          <w:color w:val="000000" w:themeColor="text1"/>
          <w:sz w:val="24"/>
          <w:szCs w:val="24"/>
          <w:highlight w:val="none"/>
          <w14:textFill>
            <w14:solidFill>
              <w14:schemeClr w14:val="tx1"/>
            </w14:solidFill>
          </w14:textFill>
        </w:rPr>
      </w:pPr>
      <w:bookmarkStart w:id="540" w:name="_Toc18841"/>
      <w:r>
        <w:rPr>
          <w:rStyle w:val="62"/>
          <w:rFonts w:hint="eastAsia" w:ascii="仿宋" w:hAnsi="仿宋" w:eastAsia="仿宋" w:cs="仿宋"/>
          <w:color w:val="000000" w:themeColor="text1"/>
          <w:sz w:val="24"/>
          <w:szCs w:val="24"/>
          <w:highlight w:val="none"/>
          <w14:textFill>
            <w14:solidFill>
              <w14:schemeClr w14:val="tx1"/>
            </w14:solidFill>
          </w14:textFill>
        </w:rPr>
        <w:t>附件1</w:t>
      </w:r>
      <w:r>
        <w:rPr>
          <w:rStyle w:val="62"/>
          <w:rFonts w:ascii="仿宋" w:hAnsi="仿宋" w:eastAsia="仿宋" w:cs="仿宋"/>
          <w:color w:val="000000" w:themeColor="text1"/>
          <w:sz w:val="24"/>
          <w:szCs w:val="24"/>
          <w:highlight w:val="none"/>
          <w14:textFill>
            <w14:solidFill>
              <w14:schemeClr w14:val="tx1"/>
            </w14:solidFill>
          </w14:textFill>
        </w:rPr>
        <w:t>5</w:t>
      </w:r>
      <w:r>
        <w:rPr>
          <w:rStyle w:val="62"/>
          <w:rFonts w:hint="eastAsia" w:ascii="仿宋" w:hAnsi="仿宋" w:eastAsia="仿宋" w:cs="仿宋"/>
          <w:color w:val="000000" w:themeColor="text1"/>
          <w:sz w:val="24"/>
          <w:szCs w:val="24"/>
          <w:highlight w:val="none"/>
          <w14:textFill>
            <w14:solidFill>
              <w14:schemeClr w14:val="tx1"/>
            </w14:solidFill>
          </w14:textFill>
        </w:rPr>
        <w:t>-1 配备的项目团队人员</w:t>
      </w:r>
      <w:bookmarkEnd w:id="529"/>
      <w:bookmarkEnd w:id="530"/>
      <w:bookmarkEnd w:id="531"/>
      <w:bookmarkEnd w:id="532"/>
      <w:bookmarkEnd w:id="533"/>
      <w:bookmarkEnd w:id="534"/>
      <w:bookmarkEnd w:id="535"/>
      <w:bookmarkEnd w:id="536"/>
      <w:bookmarkEnd w:id="537"/>
      <w:r>
        <w:rPr>
          <w:rStyle w:val="62"/>
          <w:rFonts w:hint="eastAsia" w:ascii="仿宋" w:hAnsi="仿宋" w:eastAsia="仿宋" w:cs="仿宋"/>
          <w:color w:val="000000" w:themeColor="text1"/>
          <w:sz w:val="24"/>
          <w:szCs w:val="24"/>
          <w:highlight w:val="none"/>
          <w14:textFill>
            <w14:solidFill>
              <w14:schemeClr w14:val="tx1"/>
            </w14:solidFill>
          </w14:textFill>
        </w:rPr>
        <w:t>【如适用】</w:t>
      </w:r>
      <w:bookmarkEnd w:id="538"/>
      <w:bookmarkEnd w:id="539"/>
      <w:bookmarkEnd w:id="540"/>
    </w:p>
    <w:p w14:paraId="34F76C61">
      <w:pPr>
        <w:pStyle w:val="32"/>
        <w:ind w:left="480" w:firstLine="640"/>
        <w:rPr>
          <w:rFonts w:ascii="仿宋" w:hAnsi="仿宋"/>
          <w:color w:val="000000" w:themeColor="text1"/>
          <w:highlight w:val="none"/>
          <w14:textFill>
            <w14:solidFill>
              <w14:schemeClr w14:val="tx1"/>
            </w14:solidFill>
          </w14:textFill>
        </w:rPr>
      </w:pPr>
    </w:p>
    <w:p w14:paraId="52BD6E58">
      <w:pPr>
        <w:spacing w:line="360" w:lineRule="auto"/>
        <w:jc w:val="left"/>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项目名称： </w:t>
      </w:r>
    </w:p>
    <w:p w14:paraId="7615D43B">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招标编号：</w:t>
      </w:r>
    </w:p>
    <w:tbl>
      <w:tblPr>
        <w:tblStyle w:val="33"/>
        <w:tblW w:w="7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79"/>
        <w:gridCol w:w="1644"/>
        <w:gridCol w:w="1985"/>
        <w:gridCol w:w="1113"/>
        <w:gridCol w:w="1059"/>
      </w:tblGrid>
      <w:tr w14:paraId="6BC5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blHeader/>
          <w:jc w:val="center"/>
        </w:trPr>
        <w:tc>
          <w:tcPr>
            <w:tcW w:w="708" w:type="dxa"/>
            <w:vAlign w:val="center"/>
          </w:tcPr>
          <w:p w14:paraId="60C95F8F">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序号</w:t>
            </w:r>
          </w:p>
        </w:tc>
        <w:tc>
          <w:tcPr>
            <w:tcW w:w="779" w:type="dxa"/>
            <w:vAlign w:val="center"/>
          </w:tcPr>
          <w:p w14:paraId="632C4181">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姓名</w:t>
            </w:r>
          </w:p>
        </w:tc>
        <w:tc>
          <w:tcPr>
            <w:tcW w:w="1644" w:type="dxa"/>
            <w:vAlign w:val="center"/>
          </w:tcPr>
          <w:p w14:paraId="1A860747">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拟在本项目中担任的职务</w:t>
            </w:r>
          </w:p>
        </w:tc>
        <w:tc>
          <w:tcPr>
            <w:tcW w:w="1985" w:type="dxa"/>
            <w:vAlign w:val="center"/>
          </w:tcPr>
          <w:p w14:paraId="08691434">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相关领域工作经验（经验、年限等）</w:t>
            </w:r>
          </w:p>
        </w:tc>
        <w:tc>
          <w:tcPr>
            <w:tcW w:w="1113" w:type="dxa"/>
            <w:vAlign w:val="center"/>
          </w:tcPr>
          <w:p w14:paraId="71C9F50D">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学历</w:t>
            </w:r>
          </w:p>
        </w:tc>
        <w:tc>
          <w:tcPr>
            <w:tcW w:w="1059" w:type="dxa"/>
            <w:vAlign w:val="center"/>
          </w:tcPr>
          <w:p w14:paraId="54C4C906">
            <w:pPr>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相关资质/证书</w:t>
            </w:r>
          </w:p>
        </w:tc>
      </w:tr>
      <w:tr w14:paraId="5321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Align w:val="center"/>
          </w:tcPr>
          <w:p w14:paraId="3710EB6B">
            <w:pPr>
              <w:widowControl/>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1</w:t>
            </w:r>
          </w:p>
        </w:tc>
        <w:tc>
          <w:tcPr>
            <w:tcW w:w="779" w:type="dxa"/>
            <w:vAlign w:val="center"/>
          </w:tcPr>
          <w:p w14:paraId="6E8FCD7D">
            <w:pPr>
              <w:widowControl/>
              <w:spacing w:line="360" w:lineRule="auto"/>
              <w:jc w:val="center"/>
              <w:rPr>
                <w:rFonts w:ascii="仿宋" w:hAnsi="仿宋" w:cs="仿宋"/>
                <w:color w:val="000000" w:themeColor="text1"/>
                <w:highlight w:val="none"/>
                <w14:textFill>
                  <w14:solidFill>
                    <w14:schemeClr w14:val="tx1"/>
                  </w14:solidFill>
                </w14:textFill>
              </w:rPr>
            </w:pPr>
          </w:p>
        </w:tc>
        <w:tc>
          <w:tcPr>
            <w:tcW w:w="1644" w:type="dxa"/>
            <w:vAlign w:val="center"/>
          </w:tcPr>
          <w:p w14:paraId="715461F8">
            <w:pPr>
              <w:widowControl/>
              <w:spacing w:line="360" w:lineRule="auto"/>
              <w:jc w:val="center"/>
              <w:rPr>
                <w:rFonts w:ascii="仿宋" w:hAnsi="仿宋" w:cs="仿宋"/>
                <w:color w:val="000000" w:themeColor="text1"/>
                <w:highlight w:val="none"/>
                <w14:textFill>
                  <w14:solidFill>
                    <w14:schemeClr w14:val="tx1"/>
                  </w14:solidFill>
                </w14:textFill>
              </w:rPr>
            </w:pPr>
          </w:p>
        </w:tc>
        <w:tc>
          <w:tcPr>
            <w:tcW w:w="1985" w:type="dxa"/>
            <w:vAlign w:val="center"/>
          </w:tcPr>
          <w:p w14:paraId="79411560">
            <w:pPr>
              <w:widowControl/>
              <w:spacing w:line="360" w:lineRule="auto"/>
              <w:jc w:val="center"/>
              <w:rPr>
                <w:rFonts w:ascii="仿宋" w:hAnsi="仿宋" w:cs="仿宋"/>
                <w:color w:val="000000" w:themeColor="text1"/>
                <w:highlight w:val="none"/>
                <w14:textFill>
                  <w14:solidFill>
                    <w14:schemeClr w14:val="tx1"/>
                  </w14:solidFill>
                </w14:textFill>
              </w:rPr>
            </w:pPr>
          </w:p>
        </w:tc>
        <w:tc>
          <w:tcPr>
            <w:tcW w:w="1113" w:type="dxa"/>
            <w:vAlign w:val="center"/>
          </w:tcPr>
          <w:p w14:paraId="20B7F6D0">
            <w:pPr>
              <w:widowControl/>
              <w:spacing w:line="0" w:lineRule="atLeast"/>
              <w:jc w:val="center"/>
              <w:rPr>
                <w:rFonts w:ascii="仿宋" w:hAnsi="仿宋" w:cs="仿宋"/>
                <w:b/>
                <w:color w:val="000000" w:themeColor="text1"/>
                <w:highlight w:val="none"/>
                <w14:textFill>
                  <w14:solidFill>
                    <w14:schemeClr w14:val="tx1"/>
                  </w14:solidFill>
                </w14:textFill>
              </w:rPr>
            </w:pPr>
          </w:p>
        </w:tc>
        <w:tc>
          <w:tcPr>
            <w:tcW w:w="1059" w:type="dxa"/>
            <w:vAlign w:val="center"/>
          </w:tcPr>
          <w:p w14:paraId="754F11F9">
            <w:pPr>
              <w:widowControl/>
              <w:spacing w:line="0" w:lineRule="atLeast"/>
              <w:jc w:val="center"/>
              <w:rPr>
                <w:rFonts w:ascii="仿宋" w:hAnsi="仿宋" w:cs="仿宋"/>
                <w:b/>
                <w:color w:val="000000" w:themeColor="text1"/>
                <w:highlight w:val="none"/>
                <w14:textFill>
                  <w14:solidFill>
                    <w14:schemeClr w14:val="tx1"/>
                  </w14:solidFill>
                </w14:textFill>
              </w:rPr>
            </w:pPr>
          </w:p>
        </w:tc>
      </w:tr>
      <w:tr w14:paraId="666E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Align w:val="center"/>
          </w:tcPr>
          <w:p w14:paraId="4B63776A">
            <w:pPr>
              <w:widowControl/>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2</w:t>
            </w:r>
          </w:p>
        </w:tc>
        <w:tc>
          <w:tcPr>
            <w:tcW w:w="779" w:type="dxa"/>
            <w:vAlign w:val="center"/>
          </w:tcPr>
          <w:p w14:paraId="65E854CF">
            <w:pPr>
              <w:widowControl/>
              <w:spacing w:line="360" w:lineRule="auto"/>
              <w:jc w:val="center"/>
              <w:rPr>
                <w:rFonts w:ascii="仿宋" w:hAnsi="仿宋" w:cs="仿宋"/>
                <w:color w:val="000000" w:themeColor="text1"/>
                <w:highlight w:val="none"/>
                <w14:textFill>
                  <w14:solidFill>
                    <w14:schemeClr w14:val="tx1"/>
                  </w14:solidFill>
                </w14:textFill>
              </w:rPr>
            </w:pPr>
          </w:p>
        </w:tc>
        <w:tc>
          <w:tcPr>
            <w:tcW w:w="1644" w:type="dxa"/>
            <w:vAlign w:val="center"/>
          </w:tcPr>
          <w:p w14:paraId="2D54133A">
            <w:pPr>
              <w:widowControl/>
              <w:spacing w:line="360" w:lineRule="auto"/>
              <w:jc w:val="center"/>
              <w:rPr>
                <w:rFonts w:ascii="仿宋" w:hAnsi="仿宋" w:cs="仿宋"/>
                <w:color w:val="000000" w:themeColor="text1"/>
                <w:highlight w:val="none"/>
                <w14:textFill>
                  <w14:solidFill>
                    <w14:schemeClr w14:val="tx1"/>
                  </w14:solidFill>
                </w14:textFill>
              </w:rPr>
            </w:pPr>
          </w:p>
        </w:tc>
        <w:tc>
          <w:tcPr>
            <w:tcW w:w="1985" w:type="dxa"/>
            <w:vAlign w:val="center"/>
          </w:tcPr>
          <w:p w14:paraId="545714D6">
            <w:pPr>
              <w:widowControl/>
              <w:spacing w:line="360" w:lineRule="auto"/>
              <w:jc w:val="center"/>
              <w:rPr>
                <w:rFonts w:ascii="仿宋" w:hAnsi="仿宋" w:cs="仿宋"/>
                <w:color w:val="000000" w:themeColor="text1"/>
                <w:highlight w:val="none"/>
                <w14:textFill>
                  <w14:solidFill>
                    <w14:schemeClr w14:val="tx1"/>
                  </w14:solidFill>
                </w14:textFill>
              </w:rPr>
            </w:pPr>
          </w:p>
        </w:tc>
        <w:tc>
          <w:tcPr>
            <w:tcW w:w="1113" w:type="dxa"/>
            <w:vAlign w:val="center"/>
          </w:tcPr>
          <w:p w14:paraId="4753C84E">
            <w:pPr>
              <w:widowControl/>
              <w:spacing w:line="360" w:lineRule="auto"/>
              <w:jc w:val="center"/>
              <w:rPr>
                <w:rFonts w:ascii="仿宋" w:hAnsi="仿宋" w:cs="仿宋"/>
                <w:color w:val="000000" w:themeColor="text1"/>
                <w:highlight w:val="none"/>
                <w14:textFill>
                  <w14:solidFill>
                    <w14:schemeClr w14:val="tx1"/>
                  </w14:solidFill>
                </w14:textFill>
              </w:rPr>
            </w:pPr>
          </w:p>
        </w:tc>
        <w:tc>
          <w:tcPr>
            <w:tcW w:w="1059" w:type="dxa"/>
            <w:vAlign w:val="center"/>
          </w:tcPr>
          <w:p w14:paraId="5D08F069">
            <w:pPr>
              <w:widowControl/>
              <w:spacing w:line="360" w:lineRule="auto"/>
              <w:jc w:val="center"/>
              <w:rPr>
                <w:rFonts w:ascii="仿宋" w:hAnsi="仿宋" w:cs="仿宋"/>
                <w:color w:val="000000" w:themeColor="text1"/>
                <w:highlight w:val="none"/>
                <w14:textFill>
                  <w14:solidFill>
                    <w14:schemeClr w14:val="tx1"/>
                  </w14:solidFill>
                </w14:textFill>
              </w:rPr>
            </w:pPr>
          </w:p>
        </w:tc>
      </w:tr>
      <w:tr w14:paraId="4E41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Align w:val="center"/>
          </w:tcPr>
          <w:p w14:paraId="1F0AC3AB">
            <w:pPr>
              <w:widowControl/>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3</w:t>
            </w:r>
          </w:p>
        </w:tc>
        <w:tc>
          <w:tcPr>
            <w:tcW w:w="779" w:type="dxa"/>
            <w:vAlign w:val="center"/>
          </w:tcPr>
          <w:p w14:paraId="47ECCCD4">
            <w:pPr>
              <w:widowControl/>
              <w:spacing w:line="360" w:lineRule="auto"/>
              <w:jc w:val="center"/>
              <w:rPr>
                <w:rFonts w:ascii="仿宋" w:hAnsi="仿宋" w:cs="仿宋"/>
                <w:color w:val="000000" w:themeColor="text1"/>
                <w:highlight w:val="none"/>
                <w14:textFill>
                  <w14:solidFill>
                    <w14:schemeClr w14:val="tx1"/>
                  </w14:solidFill>
                </w14:textFill>
              </w:rPr>
            </w:pPr>
          </w:p>
        </w:tc>
        <w:tc>
          <w:tcPr>
            <w:tcW w:w="1644" w:type="dxa"/>
            <w:vAlign w:val="center"/>
          </w:tcPr>
          <w:p w14:paraId="28E69F0B">
            <w:pPr>
              <w:widowControl/>
              <w:spacing w:line="360" w:lineRule="auto"/>
              <w:jc w:val="center"/>
              <w:rPr>
                <w:rFonts w:ascii="仿宋" w:hAnsi="仿宋" w:cs="仿宋"/>
                <w:color w:val="000000" w:themeColor="text1"/>
                <w:highlight w:val="none"/>
                <w14:textFill>
                  <w14:solidFill>
                    <w14:schemeClr w14:val="tx1"/>
                  </w14:solidFill>
                </w14:textFill>
              </w:rPr>
            </w:pPr>
          </w:p>
        </w:tc>
        <w:tc>
          <w:tcPr>
            <w:tcW w:w="1985" w:type="dxa"/>
            <w:vAlign w:val="center"/>
          </w:tcPr>
          <w:p w14:paraId="29F80F9F">
            <w:pPr>
              <w:widowControl/>
              <w:spacing w:line="360" w:lineRule="auto"/>
              <w:jc w:val="center"/>
              <w:rPr>
                <w:rFonts w:ascii="仿宋" w:hAnsi="仿宋" w:cs="仿宋"/>
                <w:color w:val="000000" w:themeColor="text1"/>
                <w:highlight w:val="none"/>
                <w14:textFill>
                  <w14:solidFill>
                    <w14:schemeClr w14:val="tx1"/>
                  </w14:solidFill>
                </w14:textFill>
              </w:rPr>
            </w:pPr>
          </w:p>
        </w:tc>
        <w:tc>
          <w:tcPr>
            <w:tcW w:w="1113" w:type="dxa"/>
            <w:vAlign w:val="center"/>
          </w:tcPr>
          <w:p w14:paraId="01A4F172">
            <w:pPr>
              <w:widowControl/>
              <w:spacing w:line="360" w:lineRule="auto"/>
              <w:jc w:val="center"/>
              <w:rPr>
                <w:rFonts w:ascii="仿宋" w:hAnsi="仿宋" w:cs="仿宋"/>
                <w:color w:val="000000" w:themeColor="text1"/>
                <w:highlight w:val="none"/>
                <w14:textFill>
                  <w14:solidFill>
                    <w14:schemeClr w14:val="tx1"/>
                  </w14:solidFill>
                </w14:textFill>
              </w:rPr>
            </w:pPr>
          </w:p>
        </w:tc>
        <w:tc>
          <w:tcPr>
            <w:tcW w:w="1059" w:type="dxa"/>
            <w:vAlign w:val="center"/>
          </w:tcPr>
          <w:p w14:paraId="58BF30A1">
            <w:pPr>
              <w:widowControl/>
              <w:spacing w:line="360" w:lineRule="auto"/>
              <w:jc w:val="center"/>
              <w:rPr>
                <w:rFonts w:ascii="仿宋" w:hAnsi="仿宋" w:cs="仿宋"/>
                <w:color w:val="000000" w:themeColor="text1"/>
                <w:highlight w:val="none"/>
                <w14:textFill>
                  <w14:solidFill>
                    <w14:schemeClr w14:val="tx1"/>
                  </w14:solidFill>
                </w14:textFill>
              </w:rPr>
            </w:pPr>
          </w:p>
        </w:tc>
      </w:tr>
      <w:tr w14:paraId="4FFC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Align w:val="center"/>
          </w:tcPr>
          <w:p w14:paraId="40FBC49E">
            <w:pPr>
              <w:widowControl/>
              <w:spacing w:line="360" w:lineRule="auto"/>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w:t>
            </w:r>
          </w:p>
        </w:tc>
        <w:tc>
          <w:tcPr>
            <w:tcW w:w="779" w:type="dxa"/>
            <w:vAlign w:val="center"/>
          </w:tcPr>
          <w:p w14:paraId="1371A988">
            <w:pPr>
              <w:widowControl/>
              <w:spacing w:line="360" w:lineRule="auto"/>
              <w:jc w:val="center"/>
              <w:rPr>
                <w:rFonts w:ascii="仿宋" w:hAnsi="仿宋" w:cs="仿宋"/>
                <w:color w:val="000000" w:themeColor="text1"/>
                <w:highlight w:val="none"/>
                <w14:textFill>
                  <w14:solidFill>
                    <w14:schemeClr w14:val="tx1"/>
                  </w14:solidFill>
                </w14:textFill>
              </w:rPr>
            </w:pPr>
          </w:p>
        </w:tc>
        <w:tc>
          <w:tcPr>
            <w:tcW w:w="1644" w:type="dxa"/>
            <w:vAlign w:val="center"/>
          </w:tcPr>
          <w:p w14:paraId="1A054882">
            <w:pPr>
              <w:widowControl/>
              <w:spacing w:line="360" w:lineRule="auto"/>
              <w:jc w:val="center"/>
              <w:rPr>
                <w:rFonts w:ascii="仿宋" w:hAnsi="仿宋" w:cs="仿宋"/>
                <w:color w:val="000000" w:themeColor="text1"/>
                <w:highlight w:val="none"/>
                <w14:textFill>
                  <w14:solidFill>
                    <w14:schemeClr w14:val="tx1"/>
                  </w14:solidFill>
                </w14:textFill>
              </w:rPr>
            </w:pPr>
          </w:p>
        </w:tc>
        <w:tc>
          <w:tcPr>
            <w:tcW w:w="1985" w:type="dxa"/>
            <w:vAlign w:val="center"/>
          </w:tcPr>
          <w:p w14:paraId="38A8213C">
            <w:pPr>
              <w:widowControl/>
              <w:spacing w:line="360" w:lineRule="auto"/>
              <w:jc w:val="center"/>
              <w:rPr>
                <w:rFonts w:ascii="仿宋" w:hAnsi="仿宋" w:cs="仿宋"/>
                <w:color w:val="000000" w:themeColor="text1"/>
                <w:highlight w:val="none"/>
                <w14:textFill>
                  <w14:solidFill>
                    <w14:schemeClr w14:val="tx1"/>
                  </w14:solidFill>
                </w14:textFill>
              </w:rPr>
            </w:pPr>
          </w:p>
        </w:tc>
        <w:tc>
          <w:tcPr>
            <w:tcW w:w="1113" w:type="dxa"/>
            <w:vAlign w:val="center"/>
          </w:tcPr>
          <w:p w14:paraId="76B2A170">
            <w:pPr>
              <w:widowControl/>
              <w:spacing w:line="360" w:lineRule="auto"/>
              <w:jc w:val="center"/>
              <w:rPr>
                <w:rFonts w:ascii="仿宋" w:hAnsi="仿宋" w:cs="仿宋"/>
                <w:color w:val="000000" w:themeColor="text1"/>
                <w:highlight w:val="none"/>
                <w14:textFill>
                  <w14:solidFill>
                    <w14:schemeClr w14:val="tx1"/>
                  </w14:solidFill>
                </w14:textFill>
              </w:rPr>
            </w:pPr>
          </w:p>
        </w:tc>
        <w:tc>
          <w:tcPr>
            <w:tcW w:w="1059" w:type="dxa"/>
            <w:vAlign w:val="center"/>
          </w:tcPr>
          <w:p w14:paraId="38B659AF">
            <w:pPr>
              <w:widowControl/>
              <w:spacing w:line="360" w:lineRule="auto"/>
              <w:jc w:val="center"/>
              <w:rPr>
                <w:rFonts w:ascii="仿宋" w:hAnsi="仿宋" w:cs="仿宋"/>
                <w:color w:val="000000" w:themeColor="text1"/>
                <w:highlight w:val="none"/>
                <w14:textFill>
                  <w14:solidFill>
                    <w14:schemeClr w14:val="tx1"/>
                  </w14:solidFill>
                </w14:textFill>
              </w:rPr>
            </w:pPr>
          </w:p>
        </w:tc>
      </w:tr>
      <w:tr w14:paraId="2F89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Align w:val="center"/>
          </w:tcPr>
          <w:p w14:paraId="5E465B24">
            <w:pPr>
              <w:widowControl/>
              <w:spacing w:line="360" w:lineRule="auto"/>
              <w:jc w:val="center"/>
              <w:rPr>
                <w:rFonts w:ascii="仿宋" w:hAnsi="仿宋" w:cs="仿宋"/>
                <w:color w:val="000000" w:themeColor="text1"/>
                <w:highlight w:val="none"/>
                <w14:textFill>
                  <w14:solidFill>
                    <w14:schemeClr w14:val="tx1"/>
                  </w14:solidFill>
                </w14:textFill>
              </w:rPr>
            </w:pPr>
          </w:p>
        </w:tc>
        <w:tc>
          <w:tcPr>
            <w:tcW w:w="779" w:type="dxa"/>
            <w:vAlign w:val="center"/>
          </w:tcPr>
          <w:p w14:paraId="52AF329E">
            <w:pPr>
              <w:widowControl/>
              <w:spacing w:line="360" w:lineRule="auto"/>
              <w:jc w:val="center"/>
              <w:rPr>
                <w:rFonts w:ascii="仿宋" w:hAnsi="仿宋" w:cs="仿宋"/>
                <w:color w:val="000000" w:themeColor="text1"/>
                <w:highlight w:val="none"/>
                <w14:textFill>
                  <w14:solidFill>
                    <w14:schemeClr w14:val="tx1"/>
                  </w14:solidFill>
                </w14:textFill>
              </w:rPr>
            </w:pPr>
          </w:p>
        </w:tc>
        <w:tc>
          <w:tcPr>
            <w:tcW w:w="1644" w:type="dxa"/>
            <w:vAlign w:val="center"/>
          </w:tcPr>
          <w:p w14:paraId="1598894E">
            <w:pPr>
              <w:widowControl/>
              <w:spacing w:line="360" w:lineRule="auto"/>
              <w:jc w:val="center"/>
              <w:rPr>
                <w:rFonts w:ascii="仿宋" w:hAnsi="仿宋" w:cs="仿宋"/>
                <w:color w:val="000000" w:themeColor="text1"/>
                <w:highlight w:val="none"/>
                <w14:textFill>
                  <w14:solidFill>
                    <w14:schemeClr w14:val="tx1"/>
                  </w14:solidFill>
                </w14:textFill>
              </w:rPr>
            </w:pPr>
          </w:p>
        </w:tc>
        <w:tc>
          <w:tcPr>
            <w:tcW w:w="1985" w:type="dxa"/>
            <w:vAlign w:val="center"/>
          </w:tcPr>
          <w:p w14:paraId="52838851">
            <w:pPr>
              <w:widowControl/>
              <w:spacing w:line="360" w:lineRule="auto"/>
              <w:jc w:val="center"/>
              <w:rPr>
                <w:rFonts w:ascii="仿宋" w:hAnsi="仿宋" w:cs="仿宋"/>
                <w:color w:val="000000" w:themeColor="text1"/>
                <w:highlight w:val="none"/>
                <w14:textFill>
                  <w14:solidFill>
                    <w14:schemeClr w14:val="tx1"/>
                  </w14:solidFill>
                </w14:textFill>
              </w:rPr>
            </w:pPr>
          </w:p>
        </w:tc>
        <w:tc>
          <w:tcPr>
            <w:tcW w:w="1113" w:type="dxa"/>
            <w:vAlign w:val="center"/>
          </w:tcPr>
          <w:p w14:paraId="06776254">
            <w:pPr>
              <w:widowControl/>
              <w:spacing w:line="360" w:lineRule="auto"/>
              <w:jc w:val="center"/>
              <w:rPr>
                <w:rFonts w:ascii="仿宋" w:hAnsi="仿宋" w:cs="仿宋"/>
                <w:color w:val="000000" w:themeColor="text1"/>
                <w:highlight w:val="none"/>
                <w14:textFill>
                  <w14:solidFill>
                    <w14:schemeClr w14:val="tx1"/>
                  </w14:solidFill>
                </w14:textFill>
              </w:rPr>
            </w:pPr>
          </w:p>
        </w:tc>
        <w:tc>
          <w:tcPr>
            <w:tcW w:w="1059" w:type="dxa"/>
            <w:vAlign w:val="center"/>
          </w:tcPr>
          <w:p w14:paraId="4153A02C">
            <w:pPr>
              <w:widowControl/>
              <w:spacing w:line="360" w:lineRule="auto"/>
              <w:jc w:val="center"/>
              <w:rPr>
                <w:rFonts w:ascii="仿宋" w:hAnsi="仿宋" w:cs="仿宋"/>
                <w:color w:val="000000" w:themeColor="text1"/>
                <w:highlight w:val="none"/>
                <w14:textFill>
                  <w14:solidFill>
                    <w14:schemeClr w14:val="tx1"/>
                  </w14:solidFill>
                </w14:textFill>
              </w:rPr>
            </w:pPr>
          </w:p>
        </w:tc>
      </w:tr>
      <w:tr w14:paraId="19E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Align w:val="center"/>
          </w:tcPr>
          <w:p w14:paraId="71FE69B8">
            <w:pPr>
              <w:widowControl/>
              <w:spacing w:line="360" w:lineRule="auto"/>
              <w:jc w:val="center"/>
              <w:rPr>
                <w:rFonts w:ascii="仿宋" w:hAnsi="仿宋" w:cs="仿宋"/>
                <w:color w:val="000000" w:themeColor="text1"/>
                <w:highlight w:val="none"/>
                <w14:textFill>
                  <w14:solidFill>
                    <w14:schemeClr w14:val="tx1"/>
                  </w14:solidFill>
                </w14:textFill>
              </w:rPr>
            </w:pPr>
          </w:p>
        </w:tc>
        <w:tc>
          <w:tcPr>
            <w:tcW w:w="779" w:type="dxa"/>
            <w:vAlign w:val="center"/>
          </w:tcPr>
          <w:p w14:paraId="26B82565">
            <w:pPr>
              <w:widowControl/>
              <w:spacing w:line="360" w:lineRule="auto"/>
              <w:jc w:val="center"/>
              <w:rPr>
                <w:rFonts w:ascii="仿宋" w:hAnsi="仿宋" w:cs="仿宋"/>
                <w:color w:val="000000" w:themeColor="text1"/>
                <w:highlight w:val="none"/>
                <w14:textFill>
                  <w14:solidFill>
                    <w14:schemeClr w14:val="tx1"/>
                  </w14:solidFill>
                </w14:textFill>
              </w:rPr>
            </w:pPr>
          </w:p>
        </w:tc>
        <w:tc>
          <w:tcPr>
            <w:tcW w:w="1644" w:type="dxa"/>
            <w:vAlign w:val="center"/>
          </w:tcPr>
          <w:p w14:paraId="55EA4881">
            <w:pPr>
              <w:widowControl/>
              <w:spacing w:line="360" w:lineRule="auto"/>
              <w:jc w:val="center"/>
              <w:rPr>
                <w:rFonts w:ascii="仿宋" w:hAnsi="仿宋" w:cs="仿宋"/>
                <w:color w:val="000000" w:themeColor="text1"/>
                <w:highlight w:val="none"/>
                <w14:textFill>
                  <w14:solidFill>
                    <w14:schemeClr w14:val="tx1"/>
                  </w14:solidFill>
                </w14:textFill>
              </w:rPr>
            </w:pPr>
          </w:p>
        </w:tc>
        <w:tc>
          <w:tcPr>
            <w:tcW w:w="1985" w:type="dxa"/>
            <w:vAlign w:val="center"/>
          </w:tcPr>
          <w:p w14:paraId="0BEC33E1">
            <w:pPr>
              <w:widowControl/>
              <w:spacing w:line="360" w:lineRule="auto"/>
              <w:jc w:val="center"/>
              <w:rPr>
                <w:rFonts w:ascii="仿宋" w:hAnsi="仿宋" w:cs="仿宋"/>
                <w:color w:val="000000" w:themeColor="text1"/>
                <w:highlight w:val="none"/>
                <w14:textFill>
                  <w14:solidFill>
                    <w14:schemeClr w14:val="tx1"/>
                  </w14:solidFill>
                </w14:textFill>
              </w:rPr>
            </w:pPr>
          </w:p>
        </w:tc>
        <w:tc>
          <w:tcPr>
            <w:tcW w:w="1113" w:type="dxa"/>
            <w:vAlign w:val="center"/>
          </w:tcPr>
          <w:p w14:paraId="7211B180">
            <w:pPr>
              <w:widowControl/>
              <w:spacing w:line="360" w:lineRule="auto"/>
              <w:jc w:val="center"/>
              <w:rPr>
                <w:rFonts w:ascii="仿宋" w:hAnsi="仿宋" w:cs="仿宋"/>
                <w:color w:val="000000" w:themeColor="text1"/>
                <w:highlight w:val="none"/>
                <w14:textFill>
                  <w14:solidFill>
                    <w14:schemeClr w14:val="tx1"/>
                  </w14:solidFill>
                </w14:textFill>
              </w:rPr>
            </w:pPr>
          </w:p>
        </w:tc>
        <w:tc>
          <w:tcPr>
            <w:tcW w:w="1059" w:type="dxa"/>
            <w:vAlign w:val="center"/>
          </w:tcPr>
          <w:p w14:paraId="1BBCC923">
            <w:pPr>
              <w:widowControl/>
              <w:spacing w:line="360" w:lineRule="auto"/>
              <w:jc w:val="center"/>
              <w:rPr>
                <w:rFonts w:ascii="仿宋" w:hAnsi="仿宋" w:cs="仿宋"/>
                <w:color w:val="000000" w:themeColor="text1"/>
                <w:highlight w:val="none"/>
                <w14:textFill>
                  <w14:solidFill>
                    <w14:schemeClr w14:val="tx1"/>
                  </w14:solidFill>
                </w14:textFill>
              </w:rPr>
            </w:pPr>
          </w:p>
        </w:tc>
      </w:tr>
    </w:tbl>
    <w:p w14:paraId="264598BF">
      <w:pPr>
        <w:pStyle w:val="27"/>
        <w:rPr>
          <w:rFonts w:ascii="仿宋" w:hAnsi="仿宋" w:cs="仿宋"/>
          <w:color w:val="000000" w:themeColor="text1"/>
          <w:highlight w:val="none"/>
          <w14:textFill>
            <w14:solidFill>
              <w14:schemeClr w14:val="tx1"/>
            </w14:solidFill>
          </w14:textFill>
        </w:rPr>
      </w:pPr>
    </w:p>
    <w:p w14:paraId="1D1EFB38">
      <w:pPr>
        <w:topLinePunct/>
        <w:snapToGrid w:val="0"/>
        <w:spacing w:line="360" w:lineRule="auto"/>
        <w:rPr>
          <w:rFonts w:ascii="仿宋" w:hAnsi="仿宋" w:cs="仿宋"/>
          <w:color w:val="000000" w:themeColor="text1"/>
          <w:highlight w:val="none"/>
          <w14:textFill>
            <w14:solidFill>
              <w14:schemeClr w14:val="tx1"/>
            </w14:solidFill>
          </w14:textFill>
        </w:rPr>
      </w:pPr>
    </w:p>
    <w:p w14:paraId="61834F52">
      <w:pPr>
        <w:topLinePunct/>
        <w:snapToGrid w:val="0"/>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w:t>
      </w:r>
    </w:p>
    <w:p w14:paraId="247915BD">
      <w:pPr>
        <w:numPr>
          <w:ilvl w:val="0"/>
          <w:numId w:val="83"/>
        </w:numPr>
        <w:topLinePunct/>
        <w:snapToGrid w:val="0"/>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请按照上述顺序附团队人员的身份证复印件、学历证书复印件、资质证书复印件。</w:t>
      </w:r>
    </w:p>
    <w:p w14:paraId="21EAFBAA">
      <w:pPr>
        <w:numPr>
          <w:ilvl w:val="0"/>
          <w:numId w:val="83"/>
        </w:numPr>
        <w:topLinePunct/>
        <w:snapToGrid w:val="0"/>
        <w:spacing w:line="360" w:lineRule="auto"/>
        <w:ind w:firstLine="480" w:firstLineChars="20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行数不够，请自行添加。</w:t>
      </w:r>
    </w:p>
    <w:p w14:paraId="70DB847D">
      <w:pPr>
        <w:spacing w:line="360" w:lineRule="auto"/>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 xml:space="preserve"> </w:t>
      </w:r>
    </w:p>
    <w:p w14:paraId="223814F0">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7AFD9BFF">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投标人授权代表签字：</w:t>
      </w:r>
      <w:r>
        <w:rPr>
          <w:rFonts w:hint="eastAsia" w:ascii="仿宋" w:hAnsi="仿宋" w:cs="仿宋"/>
          <w:color w:val="000000" w:themeColor="text1"/>
          <w:highlight w:val="none"/>
          <w:u w:val="single"/>
          <w14:textFill>
            <w14:solidFill>
              <w14:schemeClr w14:val="tx1"/>
            </w14:solidFill>
          </w14:textFill>
        </w:rPr>
        <w:t xml:space="preserve">                        </w:t>
      </w:r>
    </w:p>
    <w:p w14:paraId="3A6A579E">
      <w:pPr>
        <w:pStyle w:val="3"/>
        <w:rPr>
          <w:rFonts w:ascii="仿宋" w:hAnsi="仿宋" w:cs="仿宋"/>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9F8B6DC">
      <w:pPr>
        <w:outlineLvl w:val="0"/>
        <w:rPr>
          <w:rStyle w:val="62"/>
          <w:rFonts w:ascii="仿宋" w:hAnsi="仿宋" w:eastAsia="仿宋" w:cs="仿宋"/>
          <w:color w:val="000000" w:themeColor="text1"/>
          <w:sz w:val="24"/>
          <w:szCs w:val="24"/>
          <w:highlight w:val="none"/>
          <w14:textFill>
            <w14:solidFill>
              <w14:schemeClr w14:val="tx1"/>
            </w14:solidFill>
          </w14:textFill>
        </w:rPr>
      </w:pPr>
      <w:bookmarkStart w:id="541" w:name="_Toc30430"/>
      <w:bookmarkStart w:id="542" w:name="_Toc108796181"/>
      <w:bookmarkStart w:id="543" w:name="_Toc149230434"/>
      <w:bookmarkStart w:id="544" w:name="_Toc5954"/>
      <w:bookmarkStart w:id="545" w:name="_Toc150933654"/>
      <w:bookmarkStart w:id="546" w:name="_Toc3571"/>
      <w:bookmarkStart w:id="547" w:name="_Toc13480"/>
      <w:bookmarkStart w:id="548" w:name="_Toc11118"/>
      <w:bookmarkStart w:id="549" w:name="_Toc24645"/>
      <w:bookmarkStart w:id="550" w:name="_Toc20908"/>
      <w:bookmarkStart w:id="551" w:name="_Toc19274"/>
      <w:bookmarkStart w:id="552" w:name="_Toc666"/>
      <w:bookmarkStart w:id="553" w:name="_Toc5995"/>
      <w:bookmarkStart w:id="554" w:name="_Toc29171"/>
      <w:bookmarkStart w:id="555" w:name="_Toc15388"/>
      <w:r>
        <w:rPr>
          <w:rStyle w:val="62"/>
          <w:rFonts w:hint="eastAsia" w:ascii="仿宋" w:hAnsi="仿宋" w:eastAsia="仿宋" w:cs="仿宋"/>
          <w:bCs w:val="0"/>
          <w:color w:val="000000" w:themeColor="text1"/>
          <w:sz w:val="24"/>
          <w:szCs w:val="24"/>
          <w:highlight w:val="none"/>
          <w14:textFill>
            <w14:solidFill>
              <w14:schemeClr w14:val="tx1"/>
            </w14:solidFill>
          </w14:textFill>
        </w:rPr>
        <w:t>附件1</w:t>
      </w:r>
      <w:r>
        <w:rPr>
          <w:rStyle w:val="62"/>
          <w:rFonts w:ascii="仿宋" w:hAnsi="仿宋" w:eastAsia="仿宋" w:cs="仿宋"/>
          <w:bCs w:val="0"/>
          <w:color w:val="000000" w:themeColor="text1"/>
          <w:sz w:val="24"/>
          <w:szCs w:val="24"/>
          <w:highlight w:val="none"/>
          <w14:textFill>
            <w14:solidFill>
              <w14:schemeClr w14:val="tx1"/>
            </w14:solidFill>
          </w14:textFill>
        </w:rPr>
        <w:t>5</w:t>
      </w:r>
      <w:r>
        <w:rPr>
          <w:rStyle w:val="62"/>
          <w:rFonts w:hint="eastAsia" w:ascii="仿宋" w:hAnsi="仿宋" w:eastAsia="仿宋" w:cs="仿宋"/>
          <w:bCs w:val="0"/>
          <w:color w:val="000000" w:themeColor="text1"/>
          <w:sz w:val="24"/>
          <w:szCs w:val="24"/>
          <w:highlight w:val="none"/>
          <w14:textFill>
            <w14:solidFill>
              <w14:schemeClr w14:val="tx1"/>
            </w14:solidFill>
          </w14:textFill>
        </w:rPr>
        <w:t>-2 项目配备人员表</w:t>
      </w:r>
      <w:bookmarkEnd w:id="541"/>
      <w:bookmarkEnd w:id="542"/>
      <w:r>
        <w:rPr>
          <w:rStyle w:val="62"/>
          <w:rFonts w:hint="eastAsia" w:ascii="仿宋" w:hAnsi="仿宋" w:eastAsia="仿宋" w:cs="仿宋"/>
          <w:bCs w:val="0"/>
          <w:color w:val="000000" w:themeColor="text1"/>
          <w:sz w:val="24"/>
          <w:szCs w:val="24"/>
          <w:highlight w:val="none"/>
          <w14:textFill>
            <w14:solidFill>
              <w14:schemeClr w14:val="tx1"/>
            </w14:solidFill>
          </w14:textFill>
        </w:rPr>
        <w:t>【如适用】</w:t>
      </w:r>
      <w:bookmarkEnd w:id="543"/>
      <w:bookmarkEnd w:id="544"/>
      <w:bookmarkEnd w:id="545"/>
    </w:p>
    <w:tbl>
      <w:tblPr>
        <w:tblStyle w:val="33"/>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786"/>
        <w:gridCol w:w="1153"/>
        <w:gridCol w:w="1588"/>
        <w:gridCol w:w="1735"/>
        <w:gridCol w:w="90"/>
        <w:gridCol w:w="1134"/>
      </w:tblGrid>
      <w:tr w14:paraId="494A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1F7D543B">
            <w:pPr>
              <w:snapToGrid w:val="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姓名</w:t>
            </w:r>
          </w:p>
        </w:tc>
        <w:tc>
          <w:tcPr>
            <w:tcW w:w="1786" w:type="dxa"/>
            <w:tcBorders>
              <w:top w:val="single" w:color="auto" w:sz="4" w:space="0"/>
              <w:left w:val="nil"/>
              <w:bottom w:val="single" w:color="auto" w:sz="4" w:space="0"/>
              <w:right w:val="single" w:color="auto" w:sz="4" w:space="0"/>
            </w:tcBorders>
            <w:vAlign w:val="center"/>
          </w:tcPr>
          <w:p w14:paraId="4EFFE866">
            <w:pPr>
              <w:snapToGrid w:val="0"/>
              <w:jc w:val="center"/>
              <w:rPr>
                <w:rFonts w:ascii="仿宋" w:hAnsi="仿宋" w:cs="仿宋"/>
                <w:color w:val="000000" w:themeColor="text1"/>
                <w:highlight w:val="none"/>
                <w14:textFill>
                  <w14:solidFill>
                    <w14:schemeClr w14:val="tx1"/>
                  </w14:solidFill>
                </w14:textFill>
              </w:rPr>
            </w:pPr>
          </w:p>
        </w:tc>
        <w:tc>
          <w:tcPr>
            <w:tcW w:w="1153" w:type="dxa"/>
            <w:tcBorders>
              <w:top w:val="single" w:color="auto" w:sz="4" w:space="0"/>
              <w:left w:val="nil"/>
              <w:bottom w:val="single" w:color="auto" w:sz="4" w:space="0"/>
              <w:right w:val="single" w:color="auto" w:sz="4" w:space="0"/>
            </w:tcBorders>
            <w:vAlign w:val="center"/>
          </w:tcPr>
          <w:p w14:paraId="10F82303">
            <w:pPr>
              <w:snapToGrid w:val="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本单位职务</w:t>
            </w:r>
          </w:p>
        </w:tc>
        <w:tc>
          <w:tcPr>
            <w:tcW w:w="1588" w:type="dxa"/>
            <w:tcBorders>
              <w:top w:val="single" w:color="auto" w:sz="4" w:space="0"/>
              <w:left w:val="nil"/>
              <w:bottom w:val="single" w:color="auto" w:sz="4" w:space="0"/>
              <w:right w:val="single" w:color="auto" w:sz="4" w:space="0"/>
            </w:tcBorders>
            <w:vAlign w:val="center"/>
          </w:tcPr>
          <w:p w14:paraId="6E9FCC68">
            <w:pPr>
              <w:snapToGrid w:val="0"/>
              <w:jc w:val="center"/>
              <w:rPr>
                <w:rFonts w:ascii="仿宋" w:hAnsi="仿宋" w:cs="仿宋"/>
                <w:color w:val="000000" w:themeColor="text1"/>
                <w:highlight w:val="none"/>
                <w14:textFill>
                  <w14:solidFill>
                    <w14:schemeClr w14:val="tx1"/>
                  </w14:solidFill>
                </w14:textFill>
              </w:rPr>
            </w:pPr>
          </w:p>
        </w:tc>
        <w:tc>
          <w:tcPr>
            <w:tcW w:w="1825" w:type="dxa"/>
            <w:gridSpan w:val="2"/>
            <w:tcBorders>
              <w:top w:val="single" w:color="auto" w:sz="4" w:space="0"/>
              <w:left w:val="nil"/>
              <w:bottom w:val="single" w:color="auto" w:sz="4" w:space="0"/>
              <w:right w:val="single" w:color="auto" w:sz="4" w:space="0"/>
            </w:tcBorders>
            <w:vAlign w:val="center"/>
          </w:tcPr>
          <w:p w14:paraId="22B42C12">
            <w:pPr>
              <w:snapToGrid w:val="0"/>
              <w:ind w:left="57"/>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学历</w:t>
            </w:r>
          </w:p>
        </w:tc>
        <w:tc>
          <w:tcPr>
            <w:tcW w:w="1134" w:type="dxa"/>
            <w:tcBorders>
              <w:top w:val="single" w:color="auto" w:sz="4" w:space="0"/>
              <w:left w:val="nil"/>
              <w:bottom w:val="single" w:color="auto" w:sz="4" w:space="0"/>
              <w:right w:val="single" w:color="auto" w:sz="4" w:space="0"/>
            </w:tcBorders>
            <w:vAlign w:val="center"/>
          </w:tcPr>
          <w:p w14:paraId="036ED507">
            <w:pPr>
              <w:snapToGrid w:val="0"/>
              <w:jc w:val="center"/>
              <w:rPr>
                <w:rFonts w:ascii="仿宋" w:hAnsi="仿宋" w:cs="仿宋"/>
                <w:color w:val="000000" w:themeColor="text1"/>
                <w:highlight w:val="none"/>
                <w14:textFill>
                  <w14:solidFill>
                    <w14:schemeClr w14:val="tx1"/>
                  </w14:solidFill>
                </w14:textFill>
              </w:rPr>
            </w:pPr>
          </w:p>
        </w:tc>
      </w:tr>
      <w:tr w14:paraId="6A55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5"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074DD824">
            <w:pPr>
              <w:snapToGrid w:val="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出生年月</w:t>
            </w:r>
          </w:p>
        </w:tc>
        <w:tc>
          <w:tcPr>
            <w:tcW w:w="1786" w:type="dxa"/>
            <w:tcBorders>
              <w:top w:val="single" w:color="auto" w:sz="4" w:space="0"/>
              <w:left w:val="nil"/>
              <w:bottom w:val="single" w:color="auto" w:sz="4" w:space="0"/>
              <w:right w:val="single" w:color="auto" w:sz="4" w:space="0"/>
            </w:tcBorders>
            <w:vAlign w:val="center"/>
          </w:tcPr>
          <w:p w14:paraId="6B6BF801">
            <w:pPr>
              <w:snapToGrid w:val="0"/>
              <w:jc w:val="center"/>
              <w:rPr>
                <w:rFonts w:ascii="仿宋" w:hAnsi="仿宋" w:cs="仿宋"/>
                <w:color w:val="000000" w:themeColor="text1"/>
                <w:highlight w:val="none"/>
                <w14:textFill>
                  <w14:solidFill>
                    <w14:schemeClr w14:val="tx1"/>
                  </w14:solidFill>
                </w14:textFill>
              </w:rPr>
            </w:pPr>
          </w:p>
        </w:tc>
        <w:tc>
          <w:tcPr>
            <w:tcW w:w="1153" w:type="dxa"/>
            <w:tcBorders>
              <w:top w:val="single" w:color="auto" w:sz="4" w:space="0"/>
              <w:left w:val="nil"/>
              <w:bottom w:val="single" w:color="auto" w:sz="4" w:space="0"/>
              <w:right w:val="single" w:color="auto" w:sz="4" w:space="0"/>
            </w:tcBorders>
            <w:vAlign w:val="center"/>
          </w:tcPr>
          <w:p w14:paraId="3E3F3F0C">
            <w:pPr>
              <w:snapToGrid w:val="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本项目角色</w:t>
            </w:r>
          </w:p>
        </w:tc>
        <w:tc>
          <w:tcPr>
            <w:tcW w:w="1588" w:type="dxa"/>
            <w:tcBorders>
              <w:top w:val="single" w:color="auto" w:sz="4" w:space="0"/>
              <w:left w:val="nil"/>
              <w:bottom w:val="single" w:color="auto" w:sz="4" w:space="0"/>
              <w:right w:val="single" w:color="auto" w:sz="4" w:space="0"/>
            </w:tcBorders>
            <w:vAlign w:val="center"/>
          </w:tcPr>
          <w:p w14:paraId="0738976A">
            <w:pPr>
              <w:snapToGrid w:val="0"/>
              <w:jc w:val="center"/>
              <w:rPr>
                <w:rFonts w:ascii="仿宋" w:hAnsi="仿宋" w:cs="仿宋"/>
                <w:color w:val="000000" w:themeColor="text1"/>
                <w:highlight w:val="none"/>
                <w14:textFill>
                  <w14:solidFill>
                    <w14:schemeClr w14:val="tx1"/>
                  </w14:solidFill>
                </w14:textFill>
              </w:rPr>
            </w:pPr>
          </w:p>
        </w:tc>
        <w:tc>
          <w:tcPr>
            <w:tcW w:w="1825" w:type="dxa"/>
            <w:gridSpan w:val="2"/>
            <w:tcBorders>
              <w:top w:val="single" w:color="auto" w:sz="4" w:space="0"/>
              <w:left w:val="nil"/>
              <w:bottom w:val="single" w:color="auto" w:sz="4" w:space="0"/>
              <w:right w:val="single" w:color="auto" w:sz="4" w:space="0"/>
            </w:tcBorders>
            <w:vAlign w:val="center"/>
          </w:tcPr>
          <w:p w14:paraId="05C49595">
            <w:pPr>
              <w:snapToGrid w:val="0"/>
              <w:ind w:left="192"/>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本单位任职时间</w:t>
            </w:r>
          </w:p>
        </w:tc>
        <w:tc>
          <w:tcPr>
            <w:tcW w:w="1134" w:type="dxa"/>
            <w:tcBorders>
              <w:top w:val="single" w:color="auto" w:sz="4" w:space="0"/>
              <w:left w:val="nil"/>
              <w:bottom w:val="single" w:color="auto" w:sz="4" w:space="0"/>
              <w:right w:val="single" w:color="auto" w:sz="4" w:space="0"/>
            </w:tcBorders>
            <w:vAlign w:val="center"/>
          </w:tcPr>
          <w:p w14:paraId="083271D8">
            <w:pPr>
              <w:snapToGrid w:val="0"/>
              <w:jc w:val="center"/>
              <w:rPr>
                <w:rFonts w:ascii="仿宋" w:hAnsi="仿宋" w:cs="仿宋"/>
                <w:color w:val="000000" w:themeColor="text1"/>
                <w:highlight w:val="none"/>
                <w14:textFill>
                  <w14:solidFill>
                    <w14:schemeClr w14:val="tx1"/>
                  </w14:solidFill>
                </w14:textFill>
              </w:rPr>
            </w:pPr>
          </w:p>
        </w:tc>
      </w:tr>
      <w:tr w14:paraId="2F12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5"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E73D225">
            <w:pPr>
              <w:snapToGrid w:val="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工作年限</w:t>
            </w:r>
          </w:p>
        </w:tc>
        <w:tc>
          <w:tcPr>
            <w:tcW w:w="7486" w:type="dxa"/>
            <w:gridSpan w:val="6"/>
            <w:tcBorders>
              <w:top w:val="single" w:color="auto" w:sz="4" w:space="0"/>
              <w:left w:val="nil"/>
              <w:bottom w:val="single" w:color="auto" w:sz="4" w:space="0"/>
              <w:right w:val="single" w:color="auto" w:sz="4" w:space="0"/>
            </w:tcBorders>
            <w:vAlign w:val="center"/>
          </w:tcPr>
          <w:p w14:paraId="444FB711">
            <w:pPr>
              <w:snapToGrid w:val="0"/>
              <w:jc w:val="center"/>
              <w:rPr>
                <w:rFonts w:ascii="仿宋" w:hAnsi="仿宋" w:cs="仿宋"/>
                <w:color w:val="000000" w:themeColor="text1"/>
                <w:highlight w:val="none"/>
                <w14:textFill>
                  <w14:solidFill>
                    <w14:schemeClr w14:val="tx1"/>
                  </w14:solidFill>
                </w14:textFill>
              </w:rPr>
            </w:pPr>
          </w:p>
        </w:tc>
      </w:tr>
      <w:tr w14:paraId="50CA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jc w:val="center"/>
        </w:trPr>
        <w:tc>
          <w:tcPr>
            <w:tcW w:w="8564" w:type="dxa"/>
            <w:gridSpan w:val="7"/>
            <w:tcBorders>
              <w:top w:val="single" w:color="auto" w:sz="4" w:space="0"/>
              <w:left w:val="single" w:color="auto" w:sz="4" w:space="0"/>
              <w:bottom w:val="single" w:color="auto" w:sz="4" w:space="0"/>
              <w:right w:val="single" w:color="auto" w:sz="4" w:space="0"/>
            </w:tcBorders>
            <w:vAlign w:val="center"/>
          </w:tcPr>
          <w:p w14:paraId="31A9E54E">
            <w:pPr>
              <w:snapToGrid w:val="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学历（毕业学校、时间、专业）及取得的相关专业资质情况：</w:t>
            </w:r>
          </w:p>
          <w:p w14:paraId="1FECEB53">
            <w:pPr>
              <w:snapToGrid w:val="0"/>
              <w:rPr>
                <w:rFonts w:ascii="仿宋" w:hAnsi="仿宋" w:cs="仿宋"/>
                <w:color w:val="000000" w:themeColor="text1"/>
                <w:highlight w:val="none"/>
                <w14:textFill>
                  <w14:solidFill>
                    <w14:schemeClr w14:val="tx1"/>
                  </w14:solidFill>
                </w14:textFill>
              </w:rPr>
            </w:pPr>
          </w:p>
          <w:p w14:paraId="1741FE47">
            <w:pPr>
              <w:snapToGrid w:val="0"/>
              <w:rPr>
                <w:rFonts w:ascii="仿宋" w:hAnsi="仿宋" w:cs="仿宋"/>
                <w:color w:val="000000" w:themeColor="text1"/>
                <w:highlight w:val="none"/>
                <w14:textFill>
                  <w14:solidFill>
                    <w14:schemeClr w14:val="tx1"/>
                  </w14:solidFill>
                </w14:textFill>
              </w:rPr>
            </w:pPr>
          </w:p>
          <w:p w14:paraId="3C6CB3EF">
            <w:pPr>
              <w:snapToGrid w:val="0"/>
              <w:rPr>
                <w:rFonts w:ascii="仿宋" w:hAnsi="仿宋" w:cs="仿宋"/>
                <w:color w:val="000000" w:themeColor="text1"/>
                <w:highlight w:val="none"/>
                <w14:textFill>
                  <w14:solidFill>
                    <w14:schemeClr w14:val="tx1"/>
                  </w14:solidFill>
                </w14:textFill>
              </w:rPr>
            </w:pPr>
          </w:p>
          <w:p w14:paraId="114309E2">
            <w:pPr>
              <w:snapToGrid w:val="0"/>
              <w:rPr>
                <w:rFonts w:ascii="仿宋" w:hAnsi="仿宋" w:cs="仿宋"/>
                <w:color w:val="000000" w:themeColor="text1"/>
                <w:highlight w:val="none"/>
                <w14:textFill>
                  <w14:solidFill>
                    <w14:schemeClr w14:val="tx1"/>
                  </w14:solidFill>
                </w14:textFill>
              </w:rPr>
            </w:pPr>
          </w:p>
          <w:p w14:paraId="2F8EACC4">
            <w:pPr>
              <w:snapToGrid w:val="0"/>
              <w:rPr>
                <w:rFonts w:ascii="仿宋" w:hAnsi="仿宋" w:cs="仿宋"/>
                <w:color w:val="000000" w:themeColor="text1"/>
                <w:highlight w:val="none"/>
                <w14:textFill>
                  <w14:solidFill>
                    <w14:schemeClr w14:val="tx1"/>
                  </w14:solidFill>
                </w14:textFill>
              </w:rPr>
            </w:pPr>
          </w:p>
          <w:p w14:paraId="3C311C96">
            <w:pPr>
              <w:snapToGrid w:val="0"/>
              <w:rPr>
                <w:rFonts w:ascii="仿宋" w:hAnsi="仿宋" w:cs="仿宋"/>
                <w:color w:val="000000" w:themeColor="text1"/>
                <w:highlight w:val="none"/>
                <w14:textFill>
                  <w14:solidFill>
                    <w14:schemeClr w14:val="tx1"/>
                  </w14:solidFill>
                </w14:textFill>
              </w:rPr>
            </w:pPr>
          </w:p>
          <w:p w14:paraId="506A5961">
            <w:pPr>
              <w:snapToGrid w:val="0"/>
              <w:rPr>
                <w:rFonts w:ascii="仿宋" w:hAnsi="仿宋" w:cs="仿宋"/>
                <w:color w:val="000000" w:themeColor="text1"/>
                <w:highlight w:val="none"/>
                <w14:textFill>
                  <w14:solidFill>
                    <w14:schemeClr w14:val="tx1"/>
                  </w14:solidFill>
                </w14:textFill>
              </w:rPr>
            </w:pPr>
          </w:p>
        </w:tc>
      </w:tr>
      <w:tr w14:paraId="0855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8" w:hRule="atLeast"/>
          <w:jc w:val="center"/>
        </w:trPr>
        <w:tc>
          <w:tcPr>
            <w:tcW w:w="7340" w:type="dxa"/>
            <w:gridSpan w:val="5"/>
            <w:tcBorders>
              <w:top w:val="single" w:color="auto" w:sz="4" w:space="0"/>
              <w:left w:val="single" w:color="auto" w:sz="4" w:space="0"/>
              <w:bottom w:val="single" w:color="auto" w:sz="4" w:space="0"/>
              <w:right w:val="single" w:color="auto" w:sz="4" w:space="0"/>
            </w:tcBorders>
            <w:vAlign w:val="center"/>
          </w:tcPr>
          <w:p w14:paraId="35886EA1">
            <w:pPr>
              <w:snapToGrid w:val="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参加过的类似项目工作经验</w:t>
            </w:r>
          </w:p>
        </w:tc>
        <w:tc>
          <w:tcPr>
            <w:tcW w:w="1224" w:type="dxa"/>
            <w:gridSpan w:val="2"/>
            <w:tcBorders>
              <w:top w:val="single" w:color="auto" w:sz="4" w:space="0"/>
              <w:left w:val="nil"/>
              <w:bottom w:val="single" w:color="auto" w:sz="4" w:space="0"/>
              <w:right w:val="single" w:color="auto" w:sz="4" w:space="0"/>
            </w:tcBorders>
            <w:vAlign w:val="center"/>
          </w:tcPr>
          <w:p w14:paraId="0479FC55">
            <w:pPr>
              <w:snapToGrid w:val="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担任职务</w:t>
            </w:r>
          </w:p>
        </w:tc>
      </w:tr>
      <w:tr w14:paraId="6F29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7" w:hRule="atLeast"/>
          <w:jc w:val="center"/>
        </w:trPr>
        <w:tc>
          <w:tcPr>
            <w:tcW w:w="7340" w:type="dxa"/>
            <w:gridSpan w:val="5"/>
            <w:tcBorders>
              <w:top w:val="single" w:color="auto" w:sz="4" w:space="0"/>
              <w:left w:val="single" w:color="auto" w:sz="4" w:space="0"/>
              <w:bottom w:val="single" w:color="auto" w:sz="4" w:space="0"/>
              <w:right w:val="single" w:color="auto" w:sz="4" w:space="0"/>
            </w:tcBorders>
            <w:vAlign w:val="center"/>
          </w:tcPr>
          <w:p w14:paraId="770552C1">
            <w:pPr>
              <w:snapToGrid w:val="0"/>
              <w:rPr>
                <w:rFonts w:ascii="仿宋" w:hAnsi="仿宋" w:cs="仿宋"/>
                <w:color w:val="000000" w:themeColor="text1"/>
                <w:highlight w:val="none"/>
                <w14:textFill>
                  <w14:solidFill>
                    <w14:schemeClr w14:val="tx1"/>
                  </w14:solidFill>
                </w14:textFill>
              </w:rPr>
            </w:pPr>
          </w:p>
        </w:tc>
        <w:tc>
          <w:tcPr>
            <w:tcW w:w="1224" w:type="dxa"/>
            <w:gridSpan w:val="2"/>
            <w:tcBorders>
              <w:top w:val="single" w:color="auto" w:sz="4" w:space="0"/>
              <w:left w:val="nil"/>
              <w:bottom w:val="single" w:color="auto" w:sz="4" w:space="0"/>
              <w:right w:val="single" w:color="auto" w:sz="4" w:space="0"/>
            </w:tcBorders>
            <w:vAlign w:val="center"/>
          </w:tcPr>
          <w:p w14:paraId="1F14A8E0">
            <w:pPr>
              <w:snapToGrid w:val="0"/>
              <w:rPr>
                <w:rFonts w:ascii="仿宋" w:hAnsi="仿宋" w:cs="仿宋"/>
                <w:color w:val="000000" w:themeColor="text1"/>
                <w:highlight w:val="none"/>
                <w14:textFill>
                  <w14:solidFill>
                    <w14:schemeClr w14:val="tx1"/>
                  </w14:solidFill>
                </w14:textFill>
              </w:rPr>
            </w:pPr>
          </w:p>
        </w:tc>
      </w:tr>
      <w:tr w14:paraId="29EE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340" w:type="dxa"/>
            <w:gridSpan w:val="5"/>
            <w:tcBorders>
              <w:top w:val="single" w:color="auto" w:sz="4" w:space="0"/>
              <w:left w:val="single" w:color="auto" w:sz="4" w:space="0"/>
              <w:bottom w:val="single" w:color="auto" w:sz="4" w:space="0"/>
              <w:right w:val="single" w:color="auto" w:sz="4" w:space="0"/>
            </w:tcBorders>
            <w:vAlign w:val="center"/>
          </w:tcPr>
          <w:p w14:paraId="5DED1DA3">
            <w:pPr>
              <w:rPr>
                <w:rFonts w:ascii="仿宋" w:hAnsi="仿宋" w:cs="仿宋"/>
                <w:color w:val="000000" w:themeColor="text1"/>
                <w:highlight w:val="none"/>
                <w14:textFill>
                  <w14:solidFill>
                    <w14:schemeClr w14:val="tx1"/>
                  </w14:solidFill>
                </w14:textFill>
              </w:rPr>
            </w:pPr>
          </w:p>
        </w:tc>
        <w:tc>
          <w:tcPr>
            <w:tcW w:w="1224" w:type="dxa"/>
            <w:gridSpan w:val="2"/>
            <w:tcBorders>
              <w:top w:val="single" w:color="auto" w:sz="4" w:space="0"/>
              <w:left w:val="nil"/>
              <w:bottom w:val="single" w:color="auto" w:sz="4" w:space="0"/>
              <w:right w:val="single" w:color="auto" w:sz="4" w:space="0"/>
            </w:tcBorders>
            <w:vAlign w:val="center"/>
          </w:tcPr>
          <w:p w14:paraId="1488546A">
            <w:pPr>
              <w:rPr>
                <w:rFonts w:ascii="仿宋" w:hAnsi="仿宋" w:cs="仿宋"/>
                <w:color w:val="000000" w:themeColor="text1"/>
                <w:highlight w:val="none"/>
                <w14:textFill>
                  <w14:solidFill>
                    <w14:schemeClr w14:val="tx1"/>
                  </w14:solidFill>
                </w14:textFill>
              </w:rPr>
            </w:pPr>
          </w:p>
        </w:tc>
      </w:tr>
      <w:tr w14:paraId="2C35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4" w:hRule="atLeast"/>
          <w:jc w:val="center"/>
        </w:trPr>
        <w:tc>
          <w:tcPr>
            <w:tcW w:w="7340" w:type="dxa"/>
            <w:gridSpan w:val="5"/>
            <w:tcBorders>
              <w:top w:val="single" w:color="auto" w:sz="4" w:space="0"/>
              <w:left w:val="single" w:color="auto" w:sz="4" w:space="0"/>
              <w:bottom w:val="single" w:color="auto" w:sz="4" w:space="0"/>
              <w:right w:val="single" w:color="auto" w:sz="4" w:space="0"/>
            </w:tcBorders>
            <w:vAlign w:val="center"/>
          </w:tcPr>
          <w:p w14:paraId="63A7E74C">
            <w:pPr>
              <w:rPr>
                <w:rFonts w:ascii="仿宋" w:hAnsi="仿宋" w:cs="仿宋"/>
                <w:color w:val="000000" w:themeColor="text1"/>
                <w:highlight w:val="none"/>
                <w14:textFill>
                  <w14:solidFill>
                    <w14:schemeClr w14:val="tx1"/>
                  </w14:solidFill>
                </w14:textFill>
              </w:rPr>
            </w:pPr>
          </w:p>
        </w:tc>
        <w:tc>
          <w:tcPr>
            <w:tcW w:w="1224" w:type="dxa"/>
            <w:gridSpan w:val="2"/>
            <w:tcBorders>
              <w:top w:val="single" w:color="auto" w:sz="4" w:space="0"/>
              <w:left w:val="nil"/>
              <w:bottom w:val="single" w:color="auto" w:sz="4" w:space="0"/>
              <w:right w:val="single" w:color="auto" w:sz="4" w:space="0"/>
            </w:tcBorders>
            <w:vAlign w:val="center"/>
          </w:tcPr>
          <w:p w14:paraId="10020D5B">
            <w:pPr>
              <w:rPr>
                <w:rFonts w:ascii="仿宋" w:hAnsi="仿宋" w:cs="仿宋"/>
                <w:color w:val="000000" w:themeColor="text1"/>
                <w:highlight w:val="none"/>
                <w14:textFill>
                  <w14:solidFill>
                    <w14:schemeClr w14:val="tx1"/>
                  </w14:solidFill>
                </w14:textFill>
              </w:rPr>
            </w:pPr>
          </w:p>
        </w:tc>
      </w:tr>
      <w:tr w14:paraId="1B2E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4" w:hRule="atLeast"/>
          <w:jc w:val="center"/>
        </w:trPr>
        <w:tc>
          <w:tcPr>
            <w:tcW w:w="7340" w:type="dxa"/>
            <w:gridSpan w:val="5"/>
            <w:tcBorders>
              <w:top w:val="single" w:color="auto" w:sz="4" w:space="0"/>
              <w:left w:val="single" w:color="auto" w:sz="4" w:space="0"/>
              <w:bottom w:val="single" w:color="auto" w:sz="4" w:space="0"/>
              <w:right w:val="single" w:color="auto" w:sz="4" w:space="0"/>
            </w:tcBorders>
            <w:vAlign w:val="center"/>
          </w:tcPr>
          <w:p w14:paraId="474484A7">
            <w:pPr>
              <w:rPr>
                <w:rFonts w:ascii="仿宋" w:hAnsi="仿宋" w:cs="仿宋"/>
                <w:color w:val="000000" w:themeColor="text1"/>
                <w:highlight w:val="none"/>
                <w14:textFill>
                  <w14:solidFill>
                    <w14:schemeClr w14:val="tx1"/>
                  </w14:solidFill>
                </w14:textFill>
              </w:rPr>
            </w:pPr>
          </w:p>
        </w:tc>
        <w:tc>
          <w:tcPr>
            <w:tcW w:w="1224" w:type="dxa"/>
            <w:gridSpan w:val="2"/>
            <w:tcBorders>
              <w:top w:val="single" w:color="auto" w:sz="4" w:space="0"/>
              <w:left w:val="nil"/>
              <w:bottom w:val="single" w:color="auto" w:sz="4" w:space="0"/>
              <w:right w:val="single" w:color="auto" w:sz="4" w:space="0"/>
            </w:tcBorders>
            <w:vAlign w:val="center"/>
          </w:tcPr>
          <w:p w14:paraId="52583E2E">
            <w:pPr>
              <w:rPr>
                <w:rFonts w:ascii="仿宋" w:hAnsi="仿宋" w:cs="仿宋"/>
                <w:color w:val="000000" w:themeColor="text1"/>
                <w:highlight w:val="none"/>
                <w14:textFill>
                  <w14:solidFill>
                    <w14:schemeClr w14:val="tx1"/>
                  </w14:solidFill>
                </w14:textFill>
              </w:rPr>
            </w:pPr>
          </w:p>
        </w:tc>
      </w:tr>
    </w:tbl>
    <w:p w14:paraId="719CE00A">
      <w:pPr>
        <w:spacing w:line="48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注：</w:t>
      </w:r>
    </w:p>
    <w:p w14:paraId="0FCA612B">
      <w:pPr>
        <w:topLinePunct/>
        <w:spacing w:line="360" w:lineRule="auto"/>
        <w:ind w:left="420"/>
        <w:rPr>
          <w:rFonts w:ascii="仿宋" w:hAnsi="仿宋" w:cs="仿宋"/>
          <w:bCs/>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请按照附件</w:t>
      </w:r>
      <w:r>
        <w:rPr>
          <w:rFonts w:hint="eastAsia" w:ascii="仿宋" w:hAnsi="仿宋" w:cs="仿宋"/>
          <w:bCs/>
          <w:color w:val="000000" w:themeColor="text1"/>
          <w:highlight w:val="none"/>
          <w:lang w:val="en-US" w:eastAsia="zh-CN"/>
          <w14:textFill>
            <w14:solidFill>
              <w14:schemeClr w14:val="tx1"/>
            </w14:solidFill>
          </w14:textFill>
        </w:rPr>
        <w:t>1</w:t>
      </w:r>
      <w:r>
        <w:rPr>
          <w:rFonts w:hint="eastAsia" w:ascii="仿宋" w:hAnsi="仿宋" w:cs="仿宋"/>
          <w:bCs/>
          <w:color w:val="000000" w:themeColor="text1"/>
          <w:highlight w:val="none"/>
          <w14:textFill>
            <w14:solidFill>
              <w14:schemeClr w14:val="tx1"/>
            </w14:solidFill>
          </w14:textFill>
        </w:rPr>
        <w:t>5-1表格中顺序提供每位项目配备人员的身份证复印件、学历证书复印件、相关资质证书复印、与投标人的劳动合同复印件以及近3个月内社保缴纳证明（退休返聘人员除外，下同）。其中：</w:t>
      </w:r>
    </w:p>
    <w:p w14:paraId="0F66F9A3">
      <w:pPr>
        <w:numPr>
          <w:ilvl w:val="0"/>
          <w:numId w:val="84"/>
        </w:numPr>
        <w:topLinePunct/>
        <w:spacing w:line="360" w:lineRule="auto"/>
        <w:ind w:left="420"/>
        <w:rPr>
          <w:rFonts w:ascii="仿宋" w:hAnsi="仿宋" w:cs="仿宋"/>
          <w:bCs/>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如投标人为其员工社保缴纳单位，社保缴纳凭证上须有投标人的单位名称。</w:t>
      </w:r>
    </w:p>
    <w:p w14:paraId="2C213451">
      <w:pPr>
        <w:numPr>
          <w:ilvl w:val="0"/>
          <w:numId w:val="84"/>
        </w:numPr>
        <w:topLinePunct/>
        <w:spacing w:line="360" w:lineRule="auto"/>
        <w:ind w:left="420"/>
        <w:rPr>
          <w:rFonts w:ascii="仿宋" w:hAnsi="仿宋" w:cs="仿宋"/>
          <w:color w:val="000000" w:themeColor="text1"/>
          <w:highlight w:val="none"/>
          <w14:textFill>
            <w14:solidFill>
              <w14:schemeClr w14:val="tx1"/>
            </w14:solidFill>
          </w14:textFill>
        </w:rPr>
      </w:pPr>
      <w:r>
        <w:rPr>
          <w:rFonts w:hint="eastAsia" w:ascii="仿宋" w:hAnsi="仿宋" w:cs="仿宋"/>
          <w:bCs/>
          <w:color w:val="000000" w:themeColor="text1"/>
          <w:highlight w:val="none"/>
          <w14:textFill>
            <w14:solidFill>
              <w14:schemeClr w14:val="tx1"/>
            </w14:solidFill>
          </w14:textFill>
        </w:rPr>
        <w:t>如投标人委托第三方为其员工缴纳社保，投标人须同时提供委托第三方的代缴协议和第三方为其人员缴纳社保的凭证。</w:t>
      </w:r>
    </w:p>
    <w:p w14:paraId="5B896DC1">
      <w:pPr>
        <w:numPr>
          <w:ilvl w:val="0"/>
          <w:numId w:val="84"/>
        </w:numPr>
        <w:topLinePunct/>
        <w:spacing w:line="360" w:lineRule="auto"/>
        <w:ind w:left="42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每个人一张表。</w:t>
      </w:r>
    </w:p>
    <w:p w14:paraId="0E684409">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563D0D12">
      <w:pPr>
        <w:widowControl/>
        <w:rPr>
          <w:rFonts w:ascii="仿宋" w:hAnsi="仿宋" w:cs="仿宋"/>
          <w:b/>
          <w:bCs/>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highlight w:val="none"/>
          <w14:textFill>
            <w14:solidFill>
              <w14:schemeClr w14:val="tx1"/>
            </w14:solidFill>
          </w14:textFill>
        </w:rPr>
        <w:t>投标人授权代表签字：</w:t>
      </w:r>
      <w:r>
        <w:rPr>
          <w:rFonts w:hint="eastAsia" w:ascii="仿宋" w:hAnsi="仿宋" w:cs="仿宋"/>
          <w:color w:val="000000" w:themeColor="text1"/>
          <w:highlight w:val="none"/>
          <w:u w:val="single"/>
          <w14:textFill>
            <w14:solidFill>
              <w14:schemeClr w14:val="tx1"/>
            </w14:solidFill>
          </w14:textFill>
        </w:rPr>
        <w:t xml:space="preserve">                        </w:t>
      </w:r>
      <w:bookmarkEnd w:id="546"/>
      <w:bookmarkStart w:id="556" w:name="_Toc1151"/>
    </w:p>
    <w:bookmarkEnd w:id="547"/>
    <w:bookmarkEnd w:id="548"/>
    <w:bookmarkEnd w:id="549"/>
    <w:bookmarkEnd w:id="550"/>
    <w:bookmarkEnd w:id="551"/>
    <w:bookmarkEnd w:id="552"/>
    <w:bookmarkEnd w:id="553"/>
    <w:bookmarkEnd w:id="554"/>
    <w:bookmarkEnd w:id="555"/>
    <w:bookmarkEnd w:id="556"/>
    <w:p w14:paraId="15DE01B3">
      <w:pPr>
        <w:spacing w:line="480" w:lineRule="auto"/>
        <w:rPr>
          <w:rFonts w:ascii="仿宋" w:hAnsi="仿宋" w:eastAsia="仿宋" w:cs="Arial"/>
          <w:b/>
          <w:bCs/>
          <w:color w:val="000000" w:themeColor="text1"/>
          <w:kern w:val="2"/>
          <w:sz w:val="24"/>
          <w:szCs w:val="24"/>
          <w:highlight w:val="none"/>
          <w14:textFill>
            <w14:solidFill>
              <w14:schemeClr w14:val="tx1"/>
            </w14:solidFill>
          </w14:textFill>
        </w:rPr>
      </w:pPr>
      <w:bookmarkStart w:id="557" w:name="_Toc149230444"/>
      <w:bookmarkStart w:id="558" w:name="_Toc111206240"/>
      <w:bookmarkStart w:id="559" w:name="_Toc150933673"/>
      <w:r>
        <w:rPr>
          <w:rStyle w:val="62"/>
          <w:rFonts w:hint="eastAsia" w:ascii="仿宋" w:hAnsi="仿宋" w:eastAsia="仿宋" w:cs="仿宋"/>
          <w:color w:val="000000" w:themeColor="text1"/>
          <w:sz w:val="24"/>
          <w:szCs w:val="24"/>
          <w:highlight w:val="none"/>
          <w14:textFill>
            <w14:solidFill>
              <w14:schemeClr w14:val="tx1"/>
            </w14:solidFill>
          </w14:textFill>
        </w:rPr>
        <w:t>附件1</w:t>
      </w:r>
      <w:r>
        <w:rPr>
          <w:rStyle w:val="62"/>
          <w:rFonts w:ascii="仿宋" w:hAnsi="仿宋" w:eastAsia="仿宋" w:cs="仿宋"/>
          <w:color w:val="000000" w:themeColor="text1"/>
          <w:sz w:val="24"/>
          <w:szCs w:val="24"/>
          <w:highlight w:val="none"/>
          <w14:textFill>
            <w14:solidFill>
              <w14:schemeClr w14:val="tx1"/>
            </w14:solidFill>
          </w14:textFill>
        </w:rPr>
        <w:t>6</w:t>
      </w:r>
      <w:r>
        <w:rPr>
          <w:rStyle w:val="62"/>
          <w:rFonts w:hint="eastAsia" w:ascii="仿宋" w:hAnsi="仿宋" w:eastAsia="仿宋" w:cs="仿宋"/>
          <w:color w:val="000000" w:themeColor="text1"/>
          <w:sz w:val="24"/>
          <w:szCs w:val="24"/>
          <w:highlight w:val="none"/>
          <w14:textFill>
            <w14:solidFill>
              <w14:schemeClr w14:val="tx1"/>
            </w14:solidFill>
          </w14:textFill>
        </w:rPr>
        <w:t xml:space="preserve"> </w:t>
      </w:r>
      <w:bookmarkEnd w:id="557"/>
      <w:bookmarkEnd w:id="558"/>
      <w:bookmarkEnd w:id="559"/>
      <w:r>
        <w:rPr>
          <w:rFonts w:hint="eastAsia" w:ascii="仿宋" w:hAnsi="仿宋" w:eastAsia="仿宋" w:cs="Arial"/>
          <w:b/>
          <w:bCs/>
          <w:color w:val="000000" w:themeColor="text1"/>
          <w:kern w:val="2"/>
          <w:sz w:val="24"/>
          <w:szCs w:val="24"/>
          <w:highlight w:val="none"/>
          <w:lang w:eastAsia="zh-CN"/>
          <w14:textFill>
            <w14:solidFill>
              <w14:schemeClr w14:val="tx1"/>
            </w14:solidFill>
          </w14:textFill>
        </w:rPr>
        <w:t>廉洁采购承诺书</w:t>
      </w:r>
    </w:p>
    <w:p w14:paraId="610B849A">
      <w:pPr>
        <w:spacing w:line="360" w:lineRule="auto"/>
        <w:jc w:val="left"/>
        <w:rPr>
          <w:rFonts w:hint="eastAsia" w:ascii="仿宋" w:hAnsi="仿宋" w:cs="仿宋"/>
          <w:b/>
          <w:bCs/>
          <w:color w:val="000000" w:themeColor="text1"/>
          <w:szCs w:val="21"/>
          <w:highlight w:val="none"/>
          <w14:textFill>
            <w14:solidFill>
              <w14:schemeClr w14:val="tx1"/>
            </w14:solidFill>
          </w14:textFill>
        </w:rPr>
      </w:pPr>
    </w:p>
    <w:p w14:paraId="400B7546">
      <w:pPr>
        <w:spacing w:line="360" w:lineRule="auto"/>
        <w:jc w:val="left"/>
        <w:rPr>
          <w:rFonts w:hint="eastAsia" w:ascii="仿宋" w:hAnsi="仿宋" w:cs="仿宋"/>
          <w:b/>
          <w:bCs/>
          <w:color w:val="000000" w:themeColor="text1"/>
          <w:szCs w:val="21"/>
          <w:highlight w:val="none"/>
          <w14:textFill>
            <w14:solidFill>
              <w14:schemeClr w14:val="tx1"/>
            </w14:solidFill>
          </w14:textFill>
        </w:rPr>
      </w:pPr>
      <w:r>
        <w:rPr>
          <w:rFonts w:hint="eastAsia" w:ascii="仿宋" w:hAnsi="仿宋" w:cs="仿宋"/>
          <w:b/>
          <w:bCs/>
          <w:color w:val="000000" w:themeColor="text1"/>
          <w:szCs w:val="21"/>
          <w:highlight w:val="none"/>
          <w14:textFill>
            <w14:solidFill>
              <w14:schemeClr w14:val="tx1"/>
            </w14:solidFill>
          </w14:textFill>
        </w:rPr>
        <w:t>中国银行股份有限公司</w:t>
      </w:r>
      <w:r>
        <w:rPr>
          <w:rFonts w:hint="eastAsia" w:ascii="仿宋" w:hAnsi="仿宋" w:cs="仿宋"/>
          <w:b/>
          <w:bCs/>
          <w:color w:val="000000" w:themeColor="text1"/>
          <w:szCs w:val="21"/>
          <w:highlight w:val="none"/>
          <w:lang w:eastAsia="zh-CN"/>
          <w14:textFill>
            <w14:solidFill>
              <w14:schemeClr w14:val="tx1"/>
            </w14:solidFill>
          </w14:textFill>
        </w:rPr>
        <w:t>青海省分行</w:t>
      </w:r>
      <w:r>
        <w:rPr>
          <w:rFonts w:hint="eastAsia" w:ascii="仿宋" w:hAnsi="仿宋" w:cs="仿宋"/>
          <w:b/>
          <w:bCs/>
          <w:color w:val="000000" w:themeColor="text1"/>
          <w:szCs w:val="21"/>
          <w:highlight w:val="none"/>
          <w14:textFill>
            <w14:solidFill>
              <w14:schemeClr w14:val="tx1"/>
            </w14:solidFill>
          </w14:textFill>
        </w:rPr>
        <w:t>：</w:t>
      </w:r>
    </w:p>
    <w:p w14:paraId="3B66FAFB">
      <w:pPr>
        <w:spacing w:line="360" w:lineRule="auto"/>
        <w:ind w:firstLine="480" w:firstLineChars="200"/>
        <w:jc w:val="left"/>
        <w:rPr>
          <w:rFonts w:hint="eastAsia" w:ascii="仿宋" w:hAnsi="仿宋" w:cs="仿宋"/>
          <w:color w:val="000000" w:themeColor="text1"/>
          <w:szCs w:val="21"/>
          <w:highlight w:val="none"/>
          <w14:textFill>
            <w14:solidFill>
              <w14:schemeClr w14:val="tx1"/>
            </w14:solidFill>
          </w14:textFill>
        </w:rPr>
      </w:pPr>
      <w:r>
        <w:rPr>
          <w:rFonts w:hint="eastAsia" w:ascii="仿宋" w:hAnsi="仿宋" w:cs="仿宋"/>
          <w:color w:val="000000" w:themeColor="text1"/>
          <w:szCs w:val="21"/>
          <w:highlight w:val="none"/>
          <w14:textFill>
            <w14:solidFill>
              <w14:schemeClr w14:val="tx1"/>
            </w14:solidFill>
          </w14:textFill>
        </w:rPr>
        <w:t>本公司（单位）参与贵行</w:t>
      </w:r>
      <w:r>
        <w:rPr>
          <w:rFonts w:hint="eastAsia" w:ascii="仿宋" w:hAnsi="仿宋" w:cs="仿宋"/>
          <w:color w:val="000000" w:themeColor="text1"/>
          <w:szCs w:val="21"/>
          <w:highlight w:val="none"/>
          <w:u w:val="single"/>
          <w14:textFill>
            <w14:solidFill>
              <w14:schemeClr w14:val="tx1"/>
            </w14:solidFill>
          </w14:textFill>
        </w:rPr>
        <w:t xml:space="preserve">          （项目名称、招标编号）            </w:t>
      </w:r>
      <w:r>
        <w:rPr>
          <w:rFonts w:hint="eastAsia" w:ascii="仿宋" w:hAnsi="仿宋" w:cs="仿宋"/>
          <w:color w:val="000000" w:themeColor="text1"/>
          <w:szCs w:val="21"/>
          <w:highlight w:val="none"/>
          <w:lang w:eastAsia="zh-CN"/>
          <w14:textFill>
            <w14:solidFill>
              <w14:schemeClr w14:val="tx1"/>
            </w14:solidFill>
          </w14:textFill>
        </w:rPr>
        <w:t>采购</w:t>
      </w:r>
      <w:r>
        <w:rPr>
          <w:rFonts w:hint="eastAsia" w:ascii="仿宋" w:hAnsi="仿宋" w:cs="仿宋"/>
          <w:color w:val="000000" w:themeColor="text1"/>
          <w:szCs w:val="21"/>
          <w:highlight w:val="none"/>
          <w14:textFill>
            <w14:solidFill>
              <w14:schemeClr w14:val="tx1"/>
            </w14:solidFill>
          </w14:textFill>
        </w:rPr>
        <w:t>，严格遵守国家法律法规及行业自律规定，坚持公平、公开、公正、诚实信用的原则，决不做损害双方和第三方的合法利益的行为，特承诺如下：</w:t>
      </w:r>
    </w:p>
    <w:p w14:paraId="555604D1">
      <w:pPr>
        <w:spacing w:line="360" w:lineRule="auto"/>
        <w:ind w:firstLine="482" w:firstLineChars="200"/>
        <w:jc w:val="left"/>
        <w:rPr>
          <w:rFonts w:hint="eastAsia" w:ascii="仿宋" w:hAnsi="仿宋" w:cs="仿宋"/>
          <w:b/>
          <w:bCs/>
          <w:color w:val="000000" w:themeColor="text1"/>
          <w:szCs w:val="21"/>
          <w:highlight w:val="none"/>
          <w:lang w:val="en-US" w:eastAsia="zh-CN"/>
          <w14:textFill>
            <w14:solidFill>
              <w14:schemeClr w14:val="tx1"/>
            </w14:solidFill>
          </w14:textFill>
        </w:rPr>
      </w:pPr>
      <w:r>
        <w:rPr>
          <w:rFonts w:hint="eastAsia" w:ascii="仿宋" w:hAnsi="仿宋" w:cs="仿宋"/>
          <w:b/>
          <w:bCs/>
          <w:color w:val="000000" w:themeColor="text1"/>
          <w:szCs w:val="21"/>
          <w:highlight w:val="none"/>
          <w:lang w:val="en-US" w:eastAsia="zh-CN"/>
          <w14:textFill>
            <w14:solidFill>
              <w14:schemeClr w14:val="tx1"/>
            </w14:solidFill>
          </w14:textFill>
        </w:rPr>
        <w:t>一、客观真实反映自身情况，按要求编写投标文件并保证投标文件及材料真实完整、合法有效,自觉接受招标人资质审查；遵守采购评标纪律，不干预、影响评标过程和结果；按规定时间和程序签订采购合同，并严格履行采购合同。</w:t>
      </w:r>
    </w:p>
    <w:p w14:paraId="1E1F8F40">
      <w:pPr>
        <w:spacing w:line="360" w:lineRule="auto"/>
        <w:ind w:firstLine="482" w:firstLineChars="200"/>
        <w:jc w:val="left"/>
        <w:rPr>
          <w:rFonts w:hint="eastAsia" w:ascii="仿宋" w:hAnsi="仿宋" w:cs="仿宋"/>
          <w:b/>
          <w:bCs/>
          <w:color w:val="000000" w:themeColor="text1"/>
          <w:szCs w:val="21"/>
          <w:highlight w:val="none"/>
          <w:lang w:val="en-US" w:eastAsia="zh-CN"/>
          <w14:textFill>
            <w14:solidFill>
              <w14:schemeClr w14:val="tx1"/>
            </w14:solidFill>
          </w14:textFill>
        </w:rPr>
      </w:pPr>
      <w:r>
        <w:rPr>
          <w:rFonts w:hint="eastAsia" w:ascii="仿宋" w:hAnsi="仿宋" w:cs="仿宋"/>
          <w:b/>
          <w:bCs/>
          <w:color w:val="000000" w:themeColor="text1"/>
          <w:szCs w:val="21"/>
          <w:highlight w:val="none"/>
          <w:lang w:val="en-US" w:eastAsia="zh-CN"/>
          <w14:textFill>
            <w14:solidFill>
              <w14:schemeClr w14:val="tx1"/>
            </w14:solidFill>
          </w14:textFill>
        </w:rPr>
        <w:t>二、投标人法人代表、控股股东及实际控制人与中国银行集团签订劳动合同的所有在岗人员、以及曾经与中行建立劳动关系的已退休、离职员工不存在夫妻、直系血亲、三代以内旁系血亲或近姻亲关系。</w:t>
      </w:r>
    </w:p>
    <w:p w14:paraId="517EE26F">
      <w:pPr>
        <w:spacing w:line="360" w:lineRule="auto"/>
        <w:ind w:firstLine="482" w:firstLineChars="200"/>
        <w:jc w:val="left"/>
        <w:rPr>
          <w:rFonts w:hint="eastAsia" w:ascii="仿宋" w:hAnsi="仿宋" w:cs="仿宋"/>
          <w:b/>
          <w:bCs/>
          <w:color w:val="000000" w:themeColor="text1"/>
          <w:szCs w:val="21"/>
          <w:highlight w:val="none"/>
          <w:lang w:val="en-US" w:eastAsia="zh-CN"/>
          <w14:textFill>
            <w14:solidFill>
              <w14:schemeClr w14:val="tx1"/>
            </w14:solidFill>
          </w14:textFill>
        </w:rPr>
      </w:pPr>
      <w:r>
        <w:rPr>
          <w:rFonts w:hint="eastAsia" w:ascii="仿宋" w:hAnsi="仿宋" w:cs="仿宋"/>
          <w:b/>
          <w:bCs/>
          <w:color w:val="000000" w:themeColor="text1"/>
          <w:szCs w:val="21"/>
          <w:highlight w:val="none"/>
          <w:lang w:val="en-US" w:eastAsia="zh-CN"/>
          <w14:textFill>
            <w14:solidFill>
              <w14:schemeClr w14:val="tx1"/>
            </w14:solidFill>
          </w14:textFill>
        </w:rPr>
        <w:t>三、我公司严格遵守国家法律法规，防范采购过程中的道德风险，按照贵行《中国银行股份有限公司采购供应商廉洁从业行为准则》（附件）执行。</w:t>
      </w:r>
    </w:p>
    <w:p w14:paraId="69381537">
      <w:pPr>
        <w:spacing w:line="360" w:lineRule="auto"/>
        <w:ind w:firstLine="482" w:firstLineChars="200"/>
        <w:jc w:val="left"/>
        <w:rPr>
          <w:rFonts w:hint="eastAsia" w:ascii="仿宋" w:hAnsi="仿宋" w:cs="仿宋"/>
          <w:b/>
          <w:bCs/>
          <w:color w:val="000000" w:themeColor="text1"/>
          <w:szCs w:val="21"/>
          <w:highlight w:val="none"/>
          <w:lang w:val="en-US" w:eastAsia="zh-CN"/>
          <w14:textFill>
            <w14:solidFill>
              <w14:schemeClr w14:val="tx1"/>
            </w14:solidFill>
          </w14:textFill>
        </w:rPr>
      </w:pPr>
      <w:r>
        <w:rPr>
          <w:rFonts w:hint="eastAsia" w:ascii="仿宋" w:hAnsi="仿宋" w:cs="仿宋"/>
          <w:b/>
          <w:bCs/>
          <w:color w:val="000000" w:themeColor="text1"/>
          <w:szCs w:val="21"/>
          <w:highlight w:val="none"/>
          <w:lang w:val="en-US" w:eastAsia="zh-CN"/>
          <w14:textFill>
            <w14:solidFill>
              <w14:schemeClr w14:val="tx1"/>
            </w14:solidFill>
          </w14:textFill>
        </w:rPr>
        <w:t>四、合法正当参与投标，不串标，不诋毁采购任何一方的名誉或进行虚假恶意投诉，不以其他方式排挤其他投标人。</w:t>
      </w:r>
    </w:p>
    <w:p w14:paraId="317233AB">
      <w:pPr>
        <w:spacing w:line="360" w:lineRule="auto"/>
        <w:ind w:firstLine="482" w:firstLineChars="200"/>
        <w:jc w:val="left"/>
        <w:rPr>
          <w:rFonts w:hint="eastAsia" w:ascii="仿宋" w:hAnsi="仿宋" w:cs="仿宋"/>
          <w:b/>
          <w:bCs/>
          <w:color w:val="000000" w:themeColor="text1"/>
          <w:szCs w:val="21"/>
          <w:highlight w:val="none"/>
          <w:lang w:val="en-US" w:eastAsia="zh-CN"/>
          <w14:textFill>
            <w14:solidFill>
              <w14:schemeClr w14:val="tx1"/>
            </w14:solidFill>
          </w14:textFill>
        </w:rPr>
      </w:pPr>
      <w:r>
        <w:rPr>
          <w:rFonts w:hint="eastAsia" w:ascii="仿宋" w:hAnsi="仿宋" w:cs="仿宋"/>
          <w:b/>
          <w:bCs/>
          <w:color w:val="000000" w:themeColor="text1"/>
          <w:szCs w:val="21"/>
          <w:highlight w:val="none"/>
          <w:lang w:val="en-US" w:eastAsia="zh-CN"/>
          <w14:textFill>
            <w14:solidFill>
              <w14:schemeClr w14:val="tx1"/>
            </w14:solidFill>
          </w14:textFill>
        </w:rPr>
        <w:t>五、本公司（单位）若处于被责令停业、破产状态，处于非正常的营业等状况，及时告知贵行。</w:t>
      </w:r>
    </w:p>
    <w:p w14:paraId="29175BE2">
      <w:pPr>
        <w:spacing w:line="360" w:lineRule="auto"/>
        <w:ind w:firstLine="482" w:firstLineChars="200"/>
        <w:jc w:val="left"/>
        <w:rPr>
          <w:rFonts w:hint="eastAsia" w:ascii="仿宋" w:hAnsi="仿宋" w:cs="仿宋"/>
          <w:b/>
          <w:bCs/>
          <w:color w:val="000000" w:themeColor="text1"/>
          <w:szCs w:val="21"/>
          <w:highlight w:val="none"/>
          <w:lang w:val="en-US" w:eastAsia="zh-CN"/>
          <w14:textFill>
            <w14:solidFill>
              <w14:schemeClr w14:val="tx1"/>
            </w14:solidFill>
          </w14:textFill>
        </w:rPr>
      </w:pPr>
      <w:r>
        <w:rPr>
          <w:rFonts w:hint="eastAsia" w:ascii="仿宋" w:hAnsi="仿宋" w:cs="仿宋"/>
          <w:b/>
          <w:bCs/>
          <w:color w:val="000000" w:themeColor="text1"/>
          <w:szCs w:val="21"/>
          <w:highlight w:val="none"/>
          <w:lang w:val="en-US" w:eastAsia="zh-CN"/>
          <w14:textFill>
            <w14:solidFill>
              <w14:schemeClr w14:val="tx1"/>
            </w14:solidFill>
          </w14:textFill>
        </w:rPr>
        <w:t>若违背上述承诺，本公司（单位）将承担由此产生的法律责任，接受中国银行青海省分行依法依规所做出的处理决定，赔偿因此所造成的中国银行青海省分行的全部损失。</w:t>
      </w:r>
    </w:p>
    <w:p w14:paraId="395D8D2F">
      <w:pPr>
        <w:spacing w:line="360" w:lineRule="auto"/>
        <w:rPr>
          <w:rFonts w:hint="eastAsia" w:ascii="仿宋" w:hAnsi="仿宋" w:cs="仿宋"/>
          <w:color w:val="000000" w:themeColor="text1"/>
          <w:szCs w:val="21"/>
          <w:highlight w:val="none"/>
          <w14:textFill>
            <w14:solidFill>
              <w14:schemeClr w14:val="tx1"/>
            </w14:solidFill>
          </w14:textFill>
        </w:rPr>
      </w:pPr>
      <w:r>
        <w:rPr>
          <w:rFonts w:hint="eastAsia" w:ascii="仿宋" w:hAnsi="仿宋" w:cs="仿宋"/>
          <w:color w:val="000000" w:themeColor="text1"/>
          <w:szCs w:val="21"/>
          <w:highlight w:val="none"/>
          <w14:textFill>
            <w14:solidFill>
              <w14:schemeClr w14:val="tx1"/>
            </w14:solidFill>
          </w14:textFill>
        </w:rPr>
        <w:t xml:space="preserve">  </w:t>
      </w:r>
    </w:p>
    <w:p w14:paraId="24C40ED8">
      <w:pPr>
        <w:spacing w:line="360" w:lineRule="auto"/>
        <w:rPr>
          <w:rFonts w:hint="eastAsia" w:ascii="仿宋" w:hAnsi="仿宋" w:cs="仿宋"/>
          <w:color w:val="000000" w:themeColor="text1"/>
          <w:szCs w:val="21"/>
          <w:highlight w:val="none"/>
          <w:lang w:eastAsia="zh-CN"/>
          <w14:textFill>
            <w14:solidFill>
              <w14:schemeClr w14:val="tx1"/>
            </w14:solidFill>
          </w14:textFill>
        </w:rPr>
      </w:pPr>
    </w:p>
    <w:p w14:paraId="76152B9E">
      <w:pPr>
        <w:spacing w:line="360" w:lineRule="auto"/>
        <w:rPr>
          <w:rFonts w:hint="eastAsia" w:ascii="仿宋" w:hAnsi="仿宋" w:cs="仿宋"/>
          <w:color w:val="000000" w:themeColor="text1"/>
          <w:szCs w:val="21"/>
          <w:highlight w:val="none"/>
          <w:lang w:eastAsia="zh-CN"/>
          <w14:textFill>
            <w14:solidFill>
              <w14:schemeClr w14:val="tx1"/>
            </w14:solidFill>
          </w14:textFill>
        </w:rPr>
      </w:pPr>
    </w:p>
    <w:p w14:paraId="16A98692">
      <w:pPr>
        <w:pStyle w:val="15"/>
        <w:spacing w:line="360" w:lineRule="auto"/>
        <w:rPr>
          <w:rFonts w:ascii="仿宋" w:hAnsi="仿宋" w:eastAsia="仿宋" w:cs="Arial"/>
          <w:bCs/>
          <w:color w:val="000000" w:themeColor="text1"/>
          <w:sz w:val="24"/>
          <w:szCs w:val="24"/>
          <w:highlight w:val="none"/>
          <w14:textFill>
            <w14:solidFill>
              <w14:schemeClr w14:val="tx1"/>
            </w14:solidFill>
          </w14:textFill>
        </w:rPr>
      </w:pPr>
      <w:r>
        <w:rPr>
          <w:rFonts w:ascii="仿宋" w:hAnsi="仿宋" w:eastAsia="仿宋" w:cs="Arial"/>
          <w:bCs/>
          <w:color w:val="000000" w:themeColor="text1"/>
          <w:sz w:val="24"/>
          <w:szCs w:val="24"/>
          <w:highlight w:val="none"/>
          <w14:textFill>
            <w14:solidFill>
              <w14:schemeClr w14:val="tx1"/>
            </w14:solidFill>
          </w14:textFill>
        </w:rPr>
        <w:t xml:space="preserve">被邀请谈判人名称（盖章）：  </w:t>
      </w:r>
      <w:r>
        <w:rPr>
          <w:rFonts w:ascii="仿宋" w:hAnsi="仿宋" w:eastAsia="仿宋" w:cs="Arial"/>
          <w:bCs/>
          <w:color w:val="000000" w:themeColor="text1"/>
          <w:sz w:val="24"/>
          <w:szCs w:val="24"/>
          <w:highlight w:val="none"/>
          <w:u w:val="single"/>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ab/>
      </w:r>
      <w:r>
        <w:rPr>
          <w:rFonts w:ascii="仿宋" w:hAnsi="仿宋" w:eastAsia="仿宋" w:cs="Arial"/>
          <w:bCs/>
          <w:color w:val="000000" w:themeColor="text1"/>
          <w:sz w:val="24"/>
          <w:szCs w:val="24"/>
          <w:highlight w:val="none"/>
          <w:u w:val="single"/>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ab/>
      </w:r>
    </w:p>
    <w:p w14:paraId="2CAF4A75">
      <w:pPr>
        <w:pStyle w:val="15"/>
        <w:spacing w:line="360" w:lineRule="auto"/>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Arial"/>
          <w:bCs/>
          <w:color w:val="000000" w:themeColor="text1"/>
          <w:sz w:val="24"/>
          <w:szCs w:val="24"/>
          <w:highlight w:val="none"/>
          <w14:textFill>
            <w14:solidFill>
              <w14:schemeClr w14:val="tx1"/>
            </w14:solidFill>
          </w14:textFill>
        </w:rPr>
        <w:t>被邀请谈判人代表</w:t>
      </w:r>
      <w:r>
        <w:rPr>
          <w:rFonts w:hint="eastAsia" w:ascii="仿宋" w:hAnsi="仿宋" w:eastAsia="仿宋" w:cs="Arial"/>
          <w:bCs/>
          <w:color w:val="000000" w:themeColor="text1"/>
          <w:sz w:val="24"/>
          <w:szCs w:val="24"/>
          <w:highlight w:val="none"/>
          <w14:textFill>
            <w14:solidFill>
              <w14:schemeClr w14:val="tx1"/>
            </w14:solidFill>
          </w14:textFill>
        </w:rPr>
        <w:t>（</w:t>
      </w:r>
      <w:r>
        <w:rPr>
          <w:rFonts w:ascii="仿宋" w:hAnsi="仿宋" w:eastAsia="仿宋" w:cs="Arial"/>
          <w:bCs/>
          <w:color w:val="000000" w:themeColor="text1"/>
          <w:sz w:val="24"/>
          <w:szCs w:val="24"/>
          <w:highlight w:val="none"/>
          <w14:textFill>
            <w14:solidFill>
              <w14:schemeClr w14:val="tx1"/>
            </w14:solidFill>
          </w14:textFill>
        </w:rPr>
        <w:t>签字</w:t>
      </w:r>
      <w:r>
        <w:rPr>
          <w:rFonts w:hint="eastAsia" w:ascii="仿宋" w:hAnsi="仿宋" w:eastAsia="仿宋" w:cs="Arial"/>
          <w:bCs/>
          <w:color w:val="000000" w:themeColor="text1"/>
          <w:sz w:val="24"/>
          <w:szCs w:val="24"/>
          <w:highlight w:val="none"/>
          <w14:textFill>
            <w14:solidFill>
              <w14:schemeClr w14:val="tx1"/>
            </w14:solidFill>
          </w14:textFill>
        </w:rPr>
        <w:t>）：</w:t>
      </w:r>
      <w:r>
        <w:rPr>
          <w:rFonts w:ascii="仿宋" w:hAnsi="仿宋" w:eastAsia="仿宋" w:cs="Arial"/>
          <w:bCs/>
          <w:color w:val="000000" w:themeColor="text1"/>
          <w:sz w:val="24"/>
          <w:szCs w:val="24"/>
          <w:highlight w:val="none"/>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ab/>
      </w:r>
      <w:r>
        <w:rPr>
          <w:rFonts w:ascii="仿宋" w:hAnsi="仿宋" w:eastAsia="仿宋" w:cs="Arial"/>
          <w:bCs/>
          <w:color w:val="000000" w:themeColor="text1"/>
          <w:sz w:val="24"/>
          <w:szCs w:val="24"/>
          <w:highlight w:val="none"/>
          <w:u w:val="single"/>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ab/>
      </w:r>
      <w:r>
        <w:rPr>
          <w:rFonts w:ascii="仿宋" w:hAnsi="仿宋" w:eastAsia="仿宋" w:cs="Arial"/>
          <w:bCs/>
          <w:color w:val="000000" w:themeColor="text1"/>
          <w:sz w:val="24"/>
          <w:szCs w:val="24"/>
          <w:highlight w:val="none"/>
          <w:u w:val="single"/>
          <w14:textFill>
            <w14:solidFill>
              <w14:schemeClr w14:val="tx1"/>
            </w14:solidFill>
          </w14:textFill>
        </w:rPr>
        <w:t xml:space="preserve"> </w:t>
      </w:r>
    </w:p>
    <w:p w14:paraId="042A5ED1">
      <w:pPr>
        <w:widowControl/>
        <w:jc w:val="left"/>
        <w:rPr>
          <w:rFonts w:ascii="仿宋" w:hAnsi="仿宋" w:eastAsia="仿宋"/>
          <w:color w:val="000000" w:themeColor="text1"/>
          <w:sz w:val="24"/>
          <w:highlight w:val="none"/>
          <w14:textFill>
            <w14:solidFill>
              <w14:schemeClr w14:val="tx1"/>
            </w14:solidFill>
          </w14:textFill>
        </w:rPr>
      </w:pPr>
    </w:p>
    <w:p w14:paraId="0F1662F3">
      <w:pPr>
        <w:pStyle w:val="32"/>
        <w:rPr>
          <w:rFonts w:ascii="仿宋" w:hAnsi="仿宋" w:eastAsia="仿宋"/>
          <w:color w:val="000000" w:themeColor="text1"/>
          <w:sz w:val="24"/>
          <w:highlight w:val="none"/>
          <w14:textFill>
            <w14:solidFill>
              <w14:schemeClr w14:val="tx1"/>
            </w14:solidFill>
          </w14:textFill>
        </w:rPr>
      </w:pPr>
    </w:p>
    <w:p w14:paraId="14A2A0D3">
      <w:pPr>
        <w:pStyle w:val="32"/>
        <w:rPr>
          <w:rFonts w:ascii="仿宋" w:hAnsi="仿宋" w:eastAsia="仿宋"/>
          <w:color w:val="000000" w:themeColor="text1"/>
          <w:sz w:val="24"/>
          <w:highlight w:val="none"/>
          <w14:textFill>
            <w14:solidFill>
              <w14:schemeClr w14:val="tx1"/>
            </w14:solidFill>
          </w14:textFill>
        </w:rPr>
      </w:pPr>
    </w:p>
    <w:p w14:paraId="7BA25E36">
      <w:pPr>
        <w:pStyle w:val="32"/>
        <w:rPr>
          <w:rFonts w:ascii="仿宋" w:hAnsi="仿宋" w:eastAsia="仿宋"/>
          <w:color w:val="000000" w:themeColor="text1"/>
          <w:sz w:val="24"/>
          <w:highlight w:val="none"/>
          <w14:textFill>
            <w14:solidFill>
              <w14:schemeClr w14:val="tx1"/>
            </w14:solidFill>
          </w14:textFill>
        </w:rPr>
      </w:pPr>
    </w:p>
    <w:p w14:paraId="343BB5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w:t>
      </w:r>
      <w:r>
        <w:rPr>
          <w:rFonts w:hint="eastAsia" w:ascii="仿宋" w:hAnsi="仿宋" w:cs="仿宋"/>
          <w:b/>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w:t>
      </w:r>
    </w:p>
    <w:p w14:paraId="764DE3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中国银行股份有限公司采购供应商廉洁从业行为准则</w:t>
      </w:r>
    </w:p>
    <w:p w14:paraId="22FDF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（2024年修订）</w:t>
      </w:r>
    </w:p>
    <w:p w14:paraId="468948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p>
    <w:p w14:paraId="0F0257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一、禁止商业贿赂</w:t>
      </w:r>
    </w:p>
    <w:p w14:paraId="40DE13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禁止向采购相关人员报销或补贴住宿、餐饮、交通、通讯、医疗、教育等费用。</w:t>
      </w:r>
    </w:p>
    <w:p w14:paraId="42795F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禁止向采购相关人员赠送礼金、有价证券、支付凭证和娱乐门票（卡）等礼品。</w:t>
      </w:r>
    </w:p>
    <w:p w14:paraId="67BE3C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禁止安排采购相关人员参加宴请、娱乐、旅游等活动。</w:t>
      </w:r>
    </w:p>
    <w:p w14:paraId="1276D8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禁止从事其他商业贿赂的行为。</w:t>
      </w:r>
    </w:p>
    <w:p w14:paraId="4B7E0A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二、禁止干预采购</w:t>
      </w:r>
    </w:p>
    <w:p w14:paraId="6B1F09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禁止与采购相关人员或其他供应商串通、舞弊，操纵或以其他方式影响采购结果。</w:t>
      </w:r>
    </w:p>
    <w:p w14:paraId="18916A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禁止在我行采购活动中，围标、串标、伪造、变造或提供虚假或失实采购资料。</w:t>
      </w:r>
    </w:p>
    <w:p w14:paraId="37C9B2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禁止在我行采购活动中，和其他供应商相互串通报价，排挤其他供应商的公平竞争。</w:t>
      </w:r>
    </w:p>
    <w:p w14:paraId="54ACC7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禁止恶意低于成本价竞标、报价。</w:t>
      </w:r>
    </w:p>
    <w:p w14:paraId="542EBA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禁止无正当理由提起供应商质疑。</w:t>
      </w:r>
    </w:p>
    <w:p w14:paraId="174157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禁止从事其他干预采购的行为。</w:t>
      </w:r>
    </w:p>
    <w:p w14:paraId="177958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三、禁止泄露秘密</w:t>
      </w:r>
    </w:p>
    <w:p w14:paraId="317062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禁止泄露采购过程中知悉的我行、有关单位和个人的敏感信息和涉密信息。</w:t>
      </w:r>
    </w:p>
    <w:p w14:paraId="74081C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禁止探询与采购无关的有关信息，编造或者传播虚假信息，对我行声誉造成影响。</w:t>
      </w:r>
    </w:p>
    <w:p w14:paraId="71D100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禁止未经批准公开发布我行采购工作中尚未公开的信息。</w:t>
      </w:r>
    </w:p>
    <w:p w14:paraId="03703A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禁止从事其他泄露敏感信息或涉密信息的行为。</w:t>
      </w:r>
    </w:p>
    <w:p w14:paraId="7D336D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四、禁止故意违约</w:t>
      </w:r>
    </w:p>
    <w:p w14:paraId="3DE4EC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禁止无故拒不签署合同，不履行合同义务或履行合同义务不符合约定的行为。</w:t>
      </w:r>
    </w:p>
    <w:p w14:paraId="308C9D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禁止故意提供不符合合同标准的产品或服务。</w:t>
      </w:r>
    </w:p>
    <w:p w14:paraId="403C9B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禁止故意延迟供货，故意延迟响应我行与合同相关的业务需求。</w:t>
      </w:r>
    </w:p>
    <w:p w14:paraId="7244A9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禁止在与我行合作的采购项目中违反劳动用工、环境保护、行业标准、消费者权益保护、知识产权、肖像权及数据安全等方面的法律法规。</w:t>
      </w:r>
    </w:p>
    <w:p w14:paraId="03640C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禁止故意泄露我行客户信息、恶意欺诈、乱收费、暴力催收、虚假宣传、以我行名义对外宣传的行为。</w:t>
      </w:r>
    </w:p>
    <w:p w14:paraId="277EDF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禁止消极配合我行处理消费者投诉等侵害我行利益及消费者合法权益的行为。</w:t>
      </w:r>
    </w:p>
    <w:p w14:paraId="45D31B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禁止违规转包和分包。</w:t>
      </w:r>
    </w:p>
    <w:p w14:paraId="4E8609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禁止从事其他故意违约的行为。</w:t>
      </w:r>
    </w:p>
    <w:p w14:paraId="17C14F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p>
    <w:p w14:paraId="005BB3CA">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对于违反上述廉洁从业行为准则的供应商，严格按照我行供应商管理相关规定严肃处理，并视情况向有关部门举报或向社会通报。</w:t>
      </w:r>
    </w:p>
    <w:p w14:paraId="5E3B76E9">
      <w:pPr>
        <w:rPr>
          <w:rStyle w:val="62"/>
          <w:rFonts w:hint="eastAsia" w:ascii="仿宋" w:hAnsi="仿宋" w:eastAsia="仿宋" w:cs="仿宋"/>
          <w:color w:val="000000" w:themeColor="text1"/>
          <w:sz w:val="24"/>
          <w:szCs w:val="24"/>
          <w:highlight w:val="none"/>
          <w14:textFill>
            <w14:solidFill>
              <w14:schemeClr w14:val="tx1"/>
            </w14:solidFill>
          </w14:textFill>
        </w:rPr>
      </w:pPr>
      <w:bookmarkStart w:id="560" w:name="_Toc150933675"/>
      <w:bookmarkStart w:id="561" w:name="_Toc149230446"/>
    </w:p>
    <w:p w14:paraId="2559DAFA">
      <w:pPr>
        <w:pStyle w:val="32"/>
        <w:ind w:left="0" w:leftChars="0" w:firstLine="0" w:firstLineChars="0"/>
        <w:rPr>
          <w:rStyle w:val="62"/>
          <w:rFonts w:hint="eastAsia" w:ascii="仿宋" w:hAnsi="仿宋" w:eastAsia="仿宋" w:cs="仿宋"/>
          <w:color w:val="000000" w:themeColor="text1"/>
          <w:sz w:val="24"/>
          <w:szCs w:val="24"/>
          <w:highlight w:val="none"/>
          <w14:textFill>
            <w14:solidFill>
              <w14:schemeClr w14:val="tx1"/>
            </w14:solidFill>
          </w14:textFill>
        </w:rPr>
      </w:pPr>
    </w:p>
    <w:bookmarkEnd w:id="560"/>
    <w:bookmarkEnd w:id="561"/>
    <w:p w14:paraId="0E5D529E">
      <w:pPr>
        <w:widowControl/>
        <w:spacing w:after="156" w:afterLines="50"/>
        <w:outlineLvl w:val="1"/>
        <w:rPr>
          <w:rFonts w:ascii="仿宋" w:hAnsi="仿宋" w:cs="仿宋"/>
          <w:b/>
          <w:bCs/>
          <w:color w:val="000000" w:themeColor="text1"/>
          <w:highlight w:val="none"/>
          <w14:textFill>
            <w14:solidFill>
              <w14:schemeClr w14:val="tx1"/>
            </w14:solidFill>
          </w14:textFill>
        </w:rPr>
      </w:pPr>
      <w:bookmarkStart w:id="562" w:name="_Toc23487"/>
      <w:r>
        <w:rPr>
          <w:rFonts w:hint="eastAsia" w:ascii="仿宋" w:hAnsi="仿宋" w:cs="仿宋"/>
          <w:b/>
          <w:bCs/>
          <w:color w:val="000000" w:themeColor="text1"/>
          <w:highlight w:val="none"/>
          <w14:textFill>
            <w14:solidFill>
              <w14:schemeClr w14:val="tx1"/>
            </w14:solidFill>
          </w14:textFill>
        </w:rPr>
        <w:t>附件1</w:t>
      </w:r>
      <w:r>
        <w:rPr>
          <w:rFonts w:hint="eastAsia" w:ascii="仿宋" w:hAnsi="仿宋" w:cs="仿宋"/>
          <w:b/>
          <w:bCs/>
          <w:color w:val="000000" w:themeColor="text1"/>
          <w:highlight w:val="none"/>
          <w:lang w:val="en-US" w:eastAsia="zh-CN"/>
          <w14:textFill>
            <w14:solidFill>
              <w14:schemeClr w14:val="tx1"/>
            </w14:solidFill>
          </w14:textFill>
        </w:rPr>
        <w:t>7</w:t>
      </w:r>
      <w:r>
        <w:rPr>
          <w:rFonts w:hint="eastAsia" w:ascii="仿宋" w:hAnsi="仿宋" w:cs="仿宋"/>
          <w:b/>
          <w:bCs/>
          <w:color w:val="000000" w:themeColor="text1"/>
          <w:highlight w:val="none"/>
          <w14:textFill>
            <w14:solidFill>
              <w14:schemeClr w14:val="tx1"/>
            </w14:solidFill>
          </w14:textFill>
        </w:rPr>
        <w:t>投标人退保证金/中标后开取中标服务费发票信息</w:t>
      </w:r>
      <w:bookmarkEnd w:id="466"/>
      <w:bookmarkEnd w:id="467"/>
      <w:bookmarkEnd w:id="519"/>
      <w:bookmarkEnd w:id="520"/>
      <w:bookmarkEnd w:id="521"/>
      <w:bookmarkEnd w:id="562"/>
    </w:p>
    <w:p w14:paraId="0E96F689">
      <w:pPr>
        <w:widowControl/>
        <w:spacing w:after="156" w:afterLines="50" w:line="240" w:lineRule="auto"/>
        <w:jc w:val="center"/>
        <w:outlineLvl w:val="1"/>
        <w:rPr>
          <w:rFonts w:hint="eastAsia" w:ascii="仿宋" w:hAnsi="仿宋" w:cs="仿宋"/>
          <w:b/>
          <w:bCs/>
          <w:color w:val="000000" w:themeColor="text1"/>
          <w:sz w:val="24"/>
          <w:highlight w:val="none"/>
          <w:lang w:val="en-US" w:eastAsia="zh-CN"/>
          <w14:textFill>
            <w14:solidFill>
              <w14:schemeClr w14:val="tx1"/>
            </w14:solidFill>
          </w14:textFill>
        </w:rPr>
      </w:pPr>
      <w:bookmarkStart w:id="563" w:name="_Toc30093"/>
      <w:r>
        <w:rPr>
          <w:rFonts w:hint="eastAsia" w:ascii="仿宋" w:hAnsi="仿宋" w:cs="仿宋"/>
          <w:b/>
          <w:bCs/>
          <w:color w:val="000000" w:themeColor="text1"/>
          <w:sz w:val="24"/>
          <w:highlight w:val="none"/>
          <w14:textFill>
            <w14:solidFill>
              <w14:schemeClr w14:val="tx1"/>
            </w14:solidFill>
          </w14:textFill>
        </w:rPr>
        <w:t>退还投标保证金的函</w:t>
      </w:r>
      <w:bookmarkEnd w:id="563"/>
    </w:p>
    <w:p w14:paraId="6AA99B4C">
      <w:pPr>
        <w:spacing w:line="500" w:lineRule="atLeas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我公司参加贵公司</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（开标时间）组织的招标编号：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项目。本公司以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（保证金递交方式）缴纳投标保证金（￥：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lang w:eastAsia="zh-CN"/>
          <w14:textFill>
            <w14:solidFill>
              <w14:schemeClr w14:val="tx1"/>
            </w14:solidFill>
          </w14:textFill>
        </w:rPr>
        <w:t>待本项目招标完成后</w:t>
      </w:r>
      <w:r>
        <w:rPr>
          <w:rFonts w:hint="eastAsia" w:ascii="宋体" w:hAnsi="宋体"/>
          <w:color w:val="000000" w:themeColor="text1"/>
          <w:sz w:val="24"/>
          <w:highlight w:val="none"/>
          <w14:textFill>
            <w14:solidFill>
              <w14:schemeClr w14:val="tx1"/>
            </w14:solidFill>
          </w14:textFill>
        </w:rPr>
        <w:t>将该款项结清后给予办理退还，并退还至我公司以下账户中：</w:t>
      </w:r>
    </w:p>
    <w:p w14:paraId="5CC69DB4">
      <w:pPr>
        <w:spacing w:line="500" w:lineRule="atLeas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公司账户全称：</w:t>
      </w:r>
      <w:r>
        <w:rPr>
          <w:rFonts w:hint="eastAsia" w:ascii="宋体" w:hAnsi="宋体"/>
          <w:color w:val="000000" w:themeColor="text1"/>
          <w:sz w:val="24"/>
          <w:highlight w:val="none"/>
          <w:u w:val="single"/>
          <w14:textFill>
            <w14:solidFill>
              <w14:schemeClr w14:val="tx1"/>
            </w14:solidFill>
          </w14:textFill>
        </w:rPr>
        <w:t xml:space="preserve">                                 </w:t>
      </w:r>
    </w:p>
    <w:p w14:paraId="6C7E6742">
      <w:pPr>
        <w:spacing w:line="500" w:lineRule="atLeas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公司账号：</w:t>
      </w:r>
      <w:r>
        <w:rPr>
          <w:rFonts w:hint="eastAsia" w:ascii="宋体" w:hAnsi="宋体"/>
          <w:color w:val="000000" w:themeColor="text1"/>
          <w:sz w:val="24"/>
          <w:highlight w:val="none"/>
          <w:u w:val="single"/>
          <w14:textFill>
            <w14:solidFill>
              <w14:schemeClr w14:val="tx1"/>
            </w14:solidFill>
          </w14:textFill>
        </w:rPr>
        <w:t xml:space="preserve">                                    </w:t>
      </w:r>
    </w:p>
    <w:p w14:paraId="56228D09">
      <w:pPr>
        <w:spacing w:line="500" w:lineRule="atLeas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开户银行名称：</w:t>
      </w:r>
      <w:r>
        <w:rPr>
          <w:rFonts w:hint="eastAsia" w:ascii="宋体" w:hAnsi="宋体"/>
          <w:color w:val="000000" w:themeColor="text1"/>
          <w:sz w:val="24"/>
          <w:highlight w:val="none"/>
          <w:u w:val="single"/>
          <w14:textFill>
            <w14:solidFill>
              <w14:schemeClr w14:val="tx1"/>
            </w14:solidFill>
          </w14:textFill>
        </w:rPr>
        <w:t xml:space="preserve">                                </w:t>
      </w:r>
    </w:p>
    <w:p w14:paraId="4CBEF43D">
      <w:pPr>
        <w:spacing w:line="500" w:lineRule="atLeast"/>
        <w:ind w:firstLine="482"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u w:val="single"/>
          <w14:textFill>
            <w14:solidFill>
              <w14:schemeClr w14:val="tx1"/>
            </w14:solidFill>
          </w14:textFill>
        </w:rPr>
        <w:t>开户银行所属省、市县</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42B32C42">
      <w:pPr>
        <w:spacing w:line="500" w:lineRule="atLeast"/>
        <w:rPr>
          <w:rFonts w:hint="eastAsia" w:ascii="宋体" w:hAnsi="宋体"/>
          <w:color w:val="000000" w:themeColor="text1"/>
          <w:sz w:val="24"/>
          <w:highlight w:val="none"/>
          <w14:textFill>
            <w14:solidFill>
              <w14:schemeClr w14:val="tx1"/>
            </w14:solidFill>
          </w14:textFill>
        </w:rPr>
      </w:pPr>
    </w:p>
    <w:p w14:paraId="22491EB9">
      <w:pPr>
        <w:spacing w:line="500" w:lineRule="atLeast"/>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附：保证金汇款凭证</w:t>
      </w:r>
    </w:p>
    <w:p w14:paraId="51332F14">
      <w:pPr>
        <w:spacing w:line="500" w:lineRule="atLeast"/>
        <w:rPr>
          <w:rFonts w:hint="eastAsia" w:ascii="宋体" w:hAnsi="宋体"/>
          <w:color w:val="000000" w:themeColor="text1"/>
          <w:sz w:val="24"/>
          <w:highlight w:val="none"/>
          <w:lang w:eastAsia="zh-CN"/>
          <w14:textFill>
            <w14:solidFill>
              <w14:schemeClr w14:val="tx1"/>
            </w14:solidFill>
          </w14:textFill>
        </w:rPr>
      </w:pPr>
    </w:p>
    <w:p w14:paraId="44A8AEA9">
      <w:pPr>
        <w:spacing w:line="480" w:lineRule="auto"/>
        <w:rPr>
          <w:rFonts w:ascii="仿宋" w:hAnsi="仿宋" w:cs="仿宋"/>
          <w:color w:val="000000" w:themeColor="text1"/>
          <w:highlight w:val="none"/>
          <w:u w:val="singl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投标人名称（公章）：</w:t>
      </w:r>
      <w:r>
        <w:rPr>
          <w:rFonts w:hint="eastAsia" w:ascii="仿宋" w:hAnsi="仿宋" w:cs="仿宋"/>
          <w:color w:val="000000" w:themeColor="text1"/>
          <w:highlight w:val="none"/>
          <w:u w:val="single"/>
          <w14:textFill>
            <w14:solidFill>
              <w14:schemeClr w14:val="tx1"/>
            </w14:solidFill>
          </w14:textFill>
        </w:rPr>
        <w:t xml:space="preserve">                     </w:t>
      </w:r>
    </w:p>
    <w:p w14:paraId="7356DB53">
      <w:pPr>
        <w:widowControl/>
        <w:ind w:left="0" w:leftChars="0" w:firstLine="0"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投标人授权代表</w:t>
      </w:r>
      <w:r>
        <w:rPr>
          <w:rFonts w:hint="eastAsia" w:ascii="仿宋" w:hAnsi="仿宋" w:cs="仿宋"/>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lang w:val="en-US" w:eastAsia="zh-CN"/>
          <w14:textFill>
            <w14:solidFill>
              <w14:schemeClr w14:val="tx1"/>
            </w14:solidFill>
          </w14:textFill>
        </w:rPr>
        <w:t>签字或盖章</w:t>
      </w:r>
      <w:r>
        <w:rPr>
          <w:rFonts w:hint="eastAsia" w:ascii="仿宋" w:hAnsi="仿宋" w:cs="仿宋"/>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w:t>
      </w:r>
      <w:r>
        <w:rPr>
          <w:rFonts w:hint="eastAsia" w:ascii="仿宋" w:hAnsi="仿宋" w:cs="仿宋"/>
          <w:color w:val="000000" w:themeColor="text1"/>
          <w:highlight w:val="none"/>
          <w:u w:val="single"/>
          <w14:textFill>
            <w14:solidFill>
              <w14:schemeClr w14:val="tx1"/>
            </w14:solidFill>
          </w14:textFill>
        </w:rPr>
        <w:t xml:space="preserve">                      </w:t>
      </w:r>
    </w:p>
    <w:p w14:paraId="3D2D9523">
      <w:pPr>
        <w:pStyle w:val="10"/>
        <w:rPr>
          <w:rFonts w:hint="eastAsia" w:ascii="宋体" w:hAnsi="宋体"/>
          <w:color w:val="000000" w:themeColor="text1"/>
          <w:sz w:val="24"/>
          <w:highlight w:val="none"/>
          <w:lang w:eastAsia="zh-CN"/>
          <w14:textFill>
            <w14:solidFill>
              <w14:schemeClr w14:val="tx1"/>
            </w14:solidFill>
          </w14:textFill>
        </w:rPr>
      </w:pPr>
    </w:p>
    <w:p w14:paraId="39040CDA">
      <w:pPr>
        <w:widowControl/>
        <w:spacing w:after="156" w:afterLines="50"/>
        <w:jc w:val="center"/>
        <w:outlineLvl w:val="1"/>
        <w:rPr>
          <w:rFonts w:hint="eastAsia" w:ascii="仿宋" w:hAnsi="仿宋" w:cs="仿宋"/>
          <w:b/>
          <w:bCs/>
          <w:color w:val="000000" w:themeColor="text1"/>
          <w:kern w:val="2"/>
          <w:sz w:val="24"/>
          <w:szCs w:val="21"/>
          <w:highlight w:val="none"/>
          <w14:textFill>
            <w14:solidFill>
              <w14:schemeClr w14:val="tx1"/>
            </w14:solidFill>
          </w14:textFill>
        </w:rPr>
      </w:pPr>
    </w:p>
    <w:p w14:paraId="518FA4C4">
      <w:pPr>
        <w:widowControl/>
        <w:spacing w:after="156" w:afterLines="50"/>
        <w:jc w:val="center"/>
        <w:outlineLvl w:val="1"/>
        <w:rPr>
          <w:rFonts w:hint="eastAsia" w:ascii="仿宋" w:hAnsi="仿宋" w:cs="仿宋"/>
          <w:b/>
          <w:bCs/>
          <w:color w:val="000000" w:themeColor="text1"/>
          <w:kern w:val="2"/>
          <w:sz w:val="24"/>
          <w:szCs w:val="21"/>
          <w:highlight w:val="none"/>
          <w14:textFill>
            <w14:solidFill>
              <w14:schemeClr w14:val="tx1"/>
            </w14:solidFill>
          </w14:textFill>
        </w:rPr>
      </w:pPr>
      <w:bookmarkStart w:id="564" w:name="_Toc25405"/>
      <w:r>
        <w:rPr>
          <w:rFonts w:hint="eastAsia" w:ascii="仿宋" w:hAnsi="仿宋" w:cs="仿宋"/>
          <w:b/>
          <w:bCs/>
          <w:color w:val="000000" w:themeColor="text1"/>
          <w:kern w:val="2"/>
          <w:sz w:val="24"/>
          <w:szCs w:val="21"/>
          <w:highlight w:val="none"/>
          <w14:textFill>
            <w14:solidFill>
              <w14:schemeClr w14:val="tx1"/>
            </w14:solidFill>
          </w14:textFill>
        </w:rPr>
        <w:t>中标后开取中标服务费发票信息</w:t>
      </w:r>
      <w:bookmarkEnd w:id="564"/>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6AC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9100" w:type="dxa"/>
            <w:vAlign w:val="top"/>
          </w:tcPr>
          <w:p w14:paraId="26767664">
            <w:pPr>
              <w:widowControl/>
              <w:spacing w:after="156" w:afterLines="50"/>
              <w:jc w:val="both"/>
              <w:outlineLvl w:val="1"/>
              <w:rPr>
                <w:rFonts w:hint="eastAsia" w:ascii="仿宋" w:hAnsi="仿宋" w:cs="仿宋"/>
                <w:b/>
                <w:bCs/>
                <w:color w:val="000000" w:themeColor="text1"/>
                <w:kern w:val="2"/>
                <w:sz w:val="24"/>
                <w:szCs w:val="21"/>
                <w:highlight w:val="none"/>
                <w:vertAlign w:val="baseline"/>
                <w14:textFill>
                  <w14:solidFill>
                    <w14:schemeClr w14:val="tx1"/>
                  </w14:solidFill>
                </w14:textFill>
              </w:rPr>
            </w:pPr>
          </w:p>
        </w:tc>
      </w:tr>
    </w:tbl>
    <w:p w14:paraId="58897B41">
      <w:pPr>
        <w:pStyle w:val="15"/>
        <w:outlineLvl w:val="1"/>
        <w:rPr>
          <w:rFonts w:ascii="仿宋" w:hAnsi="仿宋" w:cs="仿宋"/>
          <w:b/>
          <w:bCs/>
          <w:color w:val="000000" w:themeColor="text1"/>
          <w:highlight w:val="none"/>
          <w14:textFill>
            <w14:solidFill>
              <w14:schemeClr w14:val="tx1"/>
            </w14:solidFill>
          </w14:textFill>
        </w:rPr>
      </w:pPr>
      <w:r>
        <w:rPr>
          <w:rFonts w:hint="eastAsia" w:ascii="仿宋" w:hAnsi="仿宋" w:cs="仿宋"/>
          <w:color w:val="000000" w:themeColor="text1"/>
          <w:highlight w:val="none"/>
          <w:u w:val="single"/>
          <w14:textFill>
            <w14:solidFill>
              <w14:schemeClr w14:val="tx1"/>
            </w14:solidFill>
          </w14:textFill>
        </w:rPr>
        <w:br w:type="page"/>
      </w:r>
      <w:bookmarkStart w:id="565" w:name="_Toc10533"/>
      <w:bookmarkStart w:id="566" w:name="_Toc108796190"/>
      <w:bookmarkStart w:id="567" w:name="_Toc26562"/>
      <w:bookmarkStart w:id="568" w:name="_Toc150933669"/>
      <w:bookmarkStart w:id="569" w:name="_Toc22034"/>
      <w:bookmarkStart w:id="570" w:name="_Toc149230440"/>
      <w:r>
        <w:rPr>
          <w:rFonts w:hint="eastAsia" w:ascii="仿宋" w:hAnsi="仿宋" w:cs="仿宋"/>
          <w:b/>
          <w:bCs/>
          <w:color w:val="000000" w:themeColor="text1"/>
          <w:highlight w:val="none"/>
          <w14:textFill>
            <w14:solidFill>
              <w14:schemeClr w14:val="tx1"/>
            </w14:solidFill>
          </w14:textFill>
        </w:rPr>
        <w:t>附件</w:t>
      </w:r>
      <w:r>
        <w:rPr>
          <w:rFonts w:ascii="仿宋" w:hAnsi="仿宋" w:cs="仿宋"/>
          <w:b/>
          <w:bCs/>
          <w:color w:val="000000" w:themeColor="text1"/>
          <w:highlight w:val="none"/>
          <w14:textFill>
            <w14:solidFill>
              <w14:schemeClr w14:val="tx1"/>
            </w14:solidFill>
          </w14:textFill>
        </w:rPr>
        <w:t>1</w:t>
      </w:r>
      <w:r>
        <w:rPr>
          <w:rFonts w:hint="eastAsia" w:ascii="仿宋" w:hAnsi="仿宋" w:cs="仿宋"/>
          <w:b/>
          <w:bCs/>
          <w:color w:val="000000" w:themeColor="text1"/>
          <w:highlight w:val="none"/>
          <w:lang w:val="en-US" w:eastAsia="zh-CN"/>
          <w14:textFill>
            <w14:solidFill>
              <w14:schemeClr w14:val="tx1"/>
            </w14:solidFill>
          </w14:textFill>
        </w:rPr>
        <w:t>8</w:t>
      </w:r>
      <w:r>
        <w:rPr>
          <w:rFonts w:hint="eastAsia" w:ascii="仿宋" w:hAnsi="仿宋" w:cs="仿宋"/>
          <w:b/>
          <w:bCs/>
          <w:color w:val="000000" w:themeColor="text1"/>
          <w:highlight w:val="none"/>
          <w14:textFill>
            <w14:solidFill>
              <w14:schemeClr w14:val="tx1"/>
            </w14:solidFill>
          </w14:textFill>
        </w:rPr>
        <w:t xml:space="preserve"> 其它资格证明文件要求</w:t>
      </w:r>
      <w:bookmarkEnd w:id="565"/>
      <w:bookmarkEnd w:id="566"/>
      <w:bookmarkEnd w:id="567"/>
      <w:bookmarkEnd w:id="568"/>
      <w:bookmarkEnd w:id="569"/>
      <w:bookmarkEnd w:id="570"/>
    </w:p>
    <w:p w14:paraId="5C2F4EE4">
      <w:p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 xml:space="preserve"> </w:t>
      </w:r>
    </w:p>
    <w:p w14:paraId="574A9966">
      <w:pPr>
        <w:numPr>
          <w:ilvl w:val="0"/>
          <w:numId w:val="85"/>
        </w:numPr>
        <w:spacing w:line="360" w:lineRule="auto"/>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提供针对投标人基本资质相关要求的证明材料（详见第一章《招标公告/投标邀请函》），包括不限于如下内容：</w:t>
      </w:r>
    </w:p>
    <w:p w14:paraId="34182E3A">
      <w:pPr>
        <w:pStyle w:val="116"/>
        <w:numPr>
          <w:ilvl w:val="0"/>
          <w:numId w:val="85"/>
        </w:numPr>
        <w:spacing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提供针对第三章《评标办法》的说明及证明材料。</w:t>
      </w:r>
    </w:p>
    <w:p w14:paraId="6B25B074">
      <w:pPr>
        <w:pStyle w:val="116"/>
        <w:numPr>
          <w:ilvl w:val="0"/>
          <w:numId w:val="85"/>
        </w:numPr>
        <w:spacing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Hans"/>
          <w14:textFill>
            <w14:solidFill>
              <w14:schemeClr w14:val="tx1"/>
            </w14:solidFill>
          </w14:textFill>
        </w:rPr>
        <w:t>对第五章《采购需求书》的逐项应答</w:t>
      </w:r>
      <w:r>
        <w:rPr>
          <w:rFonts w:hint="eastAsia" w:ascii="仿宋" w:hAnsi="仿宋" w:cs="仿宋"/>
          <w:color w:val="000000" w:themeColor="text1"/>
          <w:highlight w:val="none"/>
          <w14:textFill>
            <w14:solidFill>
              <w14:schemeClr w14:val="tx1"/>
            </w14:solidFill>
          </w14:textFill>
        </w:rPr>
        <w:t>，包括对《采购需求书》的点对点应答、本次所投产品的介绍等</w:t>
      </w:r>
      <w:r>
        <w:rPr>
          <w:rFonts w:hint="eastAsia" w:ascii="仿宋" w:hAnsi="仿宋" w:cs="仿宋"/>
          <w:color w:val="000000" w:themeColor="text1"/>
          <w:highlight w:val="none"/>
          <w:lang w:eastAsia="zh-Hans"/>
          <w14:textFill>
            <w14:solidFill>
              <w14:schemeClr w14:val="tx1"/>
            </w14:solidFill>
          </w14:textFill>
        </w:rPr>
        <w:t>。</w:t>
      </w:r>
    </w:p>
    <w:p w14:paraId="1B76A5B2">
      <w:pPr>
        <w:pStyle w:val="116"/>
        <w:numPr>
          <w:ilvl w:val="0"/>
          <w:numId w:val="85"/>
        </w:numPr>
        <w:spacing w:line="360" w:lineRule="auto"/>
        <w:ind w:firstLineChars="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其他资质、技术认证及荣誉证书等。</w:t>
      </w:r>
    </w:p>
    <w:p w14:paraId="1316BC92">
      <w:pPr>
        <w:pStyle w:val="32"/>
        <w:ind w:left="0" w:leftChars="0" w:firstLine="0" w:firstLineChars="0"/>
        <w:rPr>
          <w:rFonts w:ascii="仿宋" w:hAnsi="仿宋" w:cs="仿宋"/>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 w:name="HiddenHorzOCR">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CE54">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81411">
                          <w:pPr>
                            <w:pStyle w:val="1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5781411">
                    <w:pPr>
                      <w:pStyle w:val="1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45B1">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11654">
                          <w:pPr>
                            <w:pStyle w:val="1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8C11654">
                    <w:pPr>
                      <w:pStyle w:val="1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5802">
    <w:pPr>
      <w:pStyle w:val="19"/>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2C31D">
                          <w:pPr>
                            <w:pStyle w:val="1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22C31D">
                    <w:pPr>
                      <w:pStyle w:val="1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2200">
    <w:pPr>
      <w:pStyle w:val="19"/>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E9E1B">
                          <w:pPr>
                            <w:pStyle w:val="1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EDE9E1B">
                    <w:pPr>
                      <w:pStyle w:val="1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05E9">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1041">
    <w:pPr>
      <w:autoSpaceDE w:val="0"/>
      <w:autoSpaceDN w:val="0"/>
      <w:adjustRightInd w:val="0"/>
      <w:rPr>
        <w: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83209">
    <w:pPr>
      <w:autoSpaceDE w:val="0"/>
      <w:autoSpaceDN w:val="0"/>
      <w:adjustRightInd w:val="0"/>
      <w:rPr>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F62A4"/>
    <w:multiLevelType w:val="singleLevel"/>
    <w:tmpl w:val="943F62A4"/>
    <w:lvl w:ilvl="0" w:tentative="0">
      <w:start w:val="1"/>
      <w:numFmt w:val="decimal"/>
      <w:lvlText w:val="%1."/>
      <w:lvlJc w:val="left"/>
      <w:pPr>
        <w:tabs>
          <w:tab w:val="left" w:pos="312"/>
        </w:tabs>
      </w:pPr>
    </w:lvl>
  </w:abstractNum>
  <w:abstractNum w:abstractNumId="1">
    <w:nsid w:val="A45A7BF5"/>
    <w:multiLevelType w:val="multilevel"/>
    <w:tmpl w:val="A45A7BF5"/>
    <w:lvl w:ilvl="0" w:tentative="0">
      <w:start w:val="1"/>
      <w:numFmt w:val="decimal"/>
      <w:lvlText w:val="(%1)"/>
      <w:lvlJc w:val="left"/>
      <w:pPr>
        <w:ind w:left="840" w:hanging="420"/>
      </w:pPr>
      <w:rPr>
        <w:rFonts w:hint="default" w:ascii="仿宋" w:hAnsi="仿宋" w:eastAsia="仿宋" w:cs="仿宋"/>
        <w:b w:val="0"/>
        <w:bCs/>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A7EE307F"/>
    <w:multiLevelType w:val="multilevel"/>
    <w:tmpl w:val="A7EE307F"/>
    <w:lvl w:ilvl="0" w:tentative="0">
      <w:start w:val="1"/>
      <w:numFmt w:val="decimal"/>
      <w:lvlText w:val="(%1)"/>
      <w:lvlJc w:val="left"/>
      <w:pPr>
        <w:ind w:left="840" w:hanging="420"/>
      </w:pPr>
      <w:rPr>
        <w:rFonts w:hint="default" w:ascii="仿宋" w:hAnsi="仿宋" w:eastAsia="仿宋" w:cs="仿宋"/>
        <w:b/>
        <w:bCs/>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A972BB3C"/>
    <w:multiLevelType w:val="singleLevel"/>
    <w:tmpl w:val="A972BB3C"/>
    <w:lvl w:ilvl="0" w:tentative="0">
      <w:start w:val="1"/>
      <w:numFmt w:val="decimal"/>
      <w:suff w:val="nothing"/>
      <w:lvlText w:val="（%1）"/>
      <w:lvlJc w:val="left"/>
    </w:lvl>
  </w:abstractNum>
  <w:abstractNum w:abstractNumId="4">
    <w:nsid w:val="B9DECC17"/>
    <w:multiLevelType w:val="multilevel"/>
    <w:tmpl w:val="B9DECC17"/>
    <w:lvl w:ilvl="0" w:tentative="0">
      <w:start w:val="26"/>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B9EE52FB"/>
    <w:multiLevelType w:val="singleLevel"/>
    <w:tmpl w:val="B9EE52FB"/>
    <w:lvl w:ilvl="0" w:tentative="0">
      <w:start w:val="1"/>
      <w:numFmt w:val="decimal"/>
      <w:lvlText w:val="%1."/>
      <w:lvlJc w:val="left"/>
      <w:pPr>
        <w:tabs>
          <w:tab w:val="left" w:pos="312"/>
        </w:tabs>
      </w:pPr>
    </w:lvl>
  </w:abstractNum>
  <w:abstractNum w:abstractNumId="6">
    <w:nsid w:val="BDE13B60"/>
    <w:multiLevelType w:val="singleLevel"/>
    <w:tmpl w:val="BDE13B60"/>
    <w:lvl w:ilvl="0" w:tentative="0">
      <w:start w:val="1"/>
      <w:numFmt w:val="decimal"/>
      <w:lvlText w:val="%1."/>
      <w:lvlJc w:val="left"/>
      <w:pPr>
        <w:tabs>
          <w:tab w:val="left" w:pos="312"/>
        </w:tabs>
      </w:pPr>
    </w:lvl>
  </w:abstractNum>
  <w:abstractNum w:abstractNumId="7">
    <w:nsid w:val="BEABF4E6"/>
    <w:multiLevelType w:val="multilevel"/>
    <w:tmpl w:val="BEABF4E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BF3AF160"/>
    <w:multiLevelType w:val="singleLevel"/>
    <w:tmpl w:val="BF3AF160"/>
    <w:lvl w:ilvl="0" w:tentative="0">
      <w:start w:val="1"/>
      <w:numFmt w:val="decimal"/>
      <w:lvlText w:val="%1."/>
      <w:lvlJc w:val="left"/>
      <w:pPr>
        <w:tabs>
          <w:tab w:val="left" w:pos="312"/>
        </w:tabs>
      </w:pPr>
    </w:lvl>
  </w:abstractNum>
  <w:abstractNum w:abstractNumId="9">
    <w:nsid w:val="C939B87E"/>
    <w:multiLevelType w:val="singleLevel"/>
    <w:tmpl w:val="C939B87E"/>
    <w:lvl w:ilvl="0" w:tentative="0">
      <w:start w:val="5"/>
      <w:numFmt w:val="chineseCounting"/>
      <w:suff w:val="space"/>
      <w:lvlText w:val="第%1部分"/>
      <w:lvlJc w:val="left"/>
      <w:rPr>
        <w:rFonts w:hint="eastAsia"/>
      </w:rPr>
    </w:lvl>
  </w:abstractNum>
  <w:abstractNum w:abstractNumId="10">
    <w:nsid w:val="CEA455E3"/>
    <w:multiLevelType w:val="singleLevel"/>
    <w:tmpl w:val="CEA455E3"/>
    <w:lvl w:ilvl="0" w:tentative="0">
      <w:start w:val="1"/>
      <w:numFmt w:val="decimalEnclosedCircleChinese"/>
      <w:suff w:val="nothing"/>
      <w:lvlText w:val="%1　"/>
      <w:lvlJc w:val="left"/>
      <w:pPr>
        <w:ind w:left="420" w:firstLine="400"/>
      </w:pPr>
      <w:rPr>
        <w:rFonts w:hint="eastAsia" w:ascii="仿宋" w:hAnsi="仿宋" w:eastAsia="仿宋" w:cs="仿宋"/>
        <w:b/>
        <w:bCs/>
        <w:sz w:val="24"/>
        <w:szCs w:val="24"/>
      </w:rPr>
    </w:lvl>
  </w:abstractNum>
  <w:abstractNum w:abstractNumId="11">
    <w:nsid w:val="CF7DFA01"/>
    <w:multiLevelType w:val="multilevel"/>
    <w:tmpl w:val="CF7DFA01"/>
    <w:lvl w:ilvl="0" w:tentative="0">
      <w:start w:val="25"/>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13">
    <w:nsid w:val="DF7F36E9"/>
    <w:multiLevelType w:val="singleLevel"/>
    <w:tmpl w:val="DF7F36E9"/>
    <w:lvl w:ilvl="0" w:tentative="0">
      <w:start w:val="1"/>
      <w:numFmt w:val="decimal"/>
      <w:suff w:val="space"/>
      <w:lvlText w:val="%1."/>
      <w:lvlJc w:val="left"/>
    </w:lvl>
  </w:abstractNum>
  <w:abstractNum w:abstractNumId="14">
    <w:nsid w:val="DFF74A93"/>
    <w:multiLevelType w:val="singleLevel"/>
    <w:tmpl w:val="DFF74A93"/>
    <w:lvl w:ilvl="0" w:tentative="0">
      <w:start w:val="1"/>
      <w:numFmt w:val="decimal"/>
      <w:suff w:val="nothing"/>
      <w:lvlText w:val="（%1）"/>
      <w:lvlJc w:val="left"/>
    </w:lvl>
  </w:abstractNum>
  <w:abstractNum w:abstractNumId="15">
    <w:nsid w:val="E3F86AD6"/>
    <w:multiLevelType w:val="singleLevel"/>
    <w:tmpl w:val="E3F86AD6"/>
    <w:lvl w:ilvl="0" w:tentative="0">
      <w:start w:val="1"/>
      <w:numFmt w:val="decimal"/>
      <w:lvlText w:val="%1."/>
      <w:lvlJc w:val="left"/>
      <w:pPr>
        <w:tabs>
          <w:tab w:val="left" w:pos="312"/>
        </w:tabs>
      </w:pPr>
      <w:rPr>
        <w:rFonts w:hint="default"/>
        <w:b w:val="0"/>
        <w:bCs w:val="0"/>
      </w:rPr>
    </w:lvl>
  </w:abstractNum>
  <w:abstractNum w:abstractNumId="16">
    <w:nsid w:val="EFBA7398"/>
    <w:multiLevelType w:val="singleLevel"/>
    <w:tmpl w:val="EFBA7398"/>
    <w:lvl w:ilvl="0" w:tentative="0">
      <w:start w:val="1"/>
      <w:numFmt w:val="decimal"/>
      <w:lvlText w:val="%1."/>
      <w:lvlJc w:val="left"/>
      <w:pPr>
        <w:tabs>
          <w:tab w:val="left" w:pos="312"/>
        </w:tabs>
      </w:pPr>
    </w:lvl>
  </w:abstractNum>
  <w:abstractNum w:abstractNumId="17">
    <w:nsid w:val="EFE7C7A4"/>
    <w:multiLevelType w:val="singleLevel"/>
    <w:tmpl w:val="EFE7C7A4"/>
    <w:lvl w:ilvl="0" w:tentative="0">
      <w:start w:val="1"/>
      <w:numFmt w:val="decimal"/>
      <w:lvlText w:val="%1."/>
      <w:lvlJc w:val="left"/>
      <w:pPr>
        <w:tabs>
          <w:tab w:val="left" w:pos="420"/>
        </w:tabs>
        <w:ind w:left="845" w:hanging="425"/>
      </w:pPr>
      <w:rPr>
        <w:rFonts w:hint="default"/>
      </w:rPr>
    </w:lvl>
  </w:abstractNum>
  <w:abstractNum w:abstractNumId="18">
    <w:nsid w:val="EFED582D"/>
    <w:multiLevelType w:val="multilevel"/>
    <w:tmpl w:val="EFED582D"/>
    <w:lvl w:ilvl="0" w:tentative="0">
      <w:start w:val="23"/>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EFFEACC6"/>
    <w:multiLevelType w:val="singleLevel"/>
    <w:tmpl w:val="EFFEACC6"/>
    <w:lvl w:ilvl="0" w:tentative="0">
      <w:start w:val="1"/>
      <w:numFmt w:val="decimal"/>
      <w:lvlText w:val="%1."/>
      <w:lvlJc w:val="left"/>
      <w:pPr>
        <w:tabs>
          <w:tab w:val="left" w:pos="420"/>
        </w:tabs>
        <w:ind w:left="845" w:hanging="425"/>
      </w:pPr>
      <w:rPr>
        <w:rFonts w:hint="default"/>
      </w:rPr>
    </w:lvl>
  </w:abstractNum>
  <w:abstractNum w:abstractNumId="20">
    <w:nsid w:val="EFFF512E"/>
    <w:multiLevelType w:val="singleLevel"/>
    <w:tmpl w:val="EFFF512E"/>
    <w:lvl w:ilvl="0" w:tentative="0">
      <w:start w:val="1"/>
      <w:numFmt w:val="chineseCounting"/>
      <w:suff w:val="nothing"/>
      <w:lvlText w:val="%1、"/>
      <w:lvlJc w:val="left"/>
      <w:pPr>
        <w:ind w:left="0" w:firstLine="0"/>
      </w:pPr>
      <w:rPr>
        <w:rFonts w:hint="eastAsia"/>
      </w:rPr>
    </w:lvl>
  </w:abstractNum>
  <w:abstractNum w:abstractNumId="21">
    <w:nsid w:val="F3E7F261"/>
    <w:multiLevelType w:val="singleLevel"/>
    <w:tmpl w:val="F3E7F261"/>
    <w:lvl w:ilvl="0" w:tentative="0">
      <w:start w:val="1"/>
      <w:numFmt w:val="decimal"/>
      <w:lvlText w:val="%1."/>
      <w:lvlJc w:val="left"/>
      <w:pPr>
        <w:tabs>
          <w:tab w:val="left" w:pos="312"/>
        </w:tabs>
      </w:pPr>
    </w:lvl>
  </w:abstractNum>
  <w:abstractNum w:abstractNumId="22">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23">
    <w:nsid w:val="F7FFC8E0"/>
    <w:multiLevelType w:val="multilevel"/>
    <w:tmpl w:val="F7FFC8E0"/>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F9751E50"/>
    <w:multiLevelType w:val="multilevel"/>
    <w:tmpl w:val="F9751E50"/>
    <w:lvl w:ilvl="0" w:tentative="0">
      <w:start w:val="1"/>
      <w:numFmt w:val="decimal"/>
      <w:lvlText w:val="(%1)"/>
      <w:lvlJc w:val="left"/>
      <w:pPr>
        <w:ind w:left="840" w:hanging="420"/>
      </w:pPr>
      <w:rPr>
        <w:rFonts w:hint="default" w:ascii="仿宋" w:hAnsi="仿宋" w:eastAsia="仿宋" w:cs="仿宋"/>
        <w:b w:val="0"/>
        <w:bCs/>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F9FFB246"/>
    <w:multiLevelType w:val="singleLevel"/>
    <w:tmpl w:val="F9FFB246"/>
    <w:lvl w:ilvl="0" w:tentative="0">
      <w:start w:val="1"/>
      <w:numFmt w:val="decimal"/>
      <w:lvlText w:val="(%1)"/>
      <w:lvlJc w:val="left"/>
      <w:pPr>
        <w:tabs>
          <w:tab w:val="left" w:pos="420"/>
        </w:tabs>
        <w:ind w:left="845" w:hanging="425"/>
      </w:pPr>
      <w:rPr>
        <w:rFonts w:hint="default"/>
        <w:b/>
      </w:rPr>
    </w:lvl>
  </w:abstractNum>
  <w:abstractNum w:abstractNumId="26">
    <w:nsid w:val="FB7F0320"/>
    <w:multiLevelType w:val="singleLevel"/>
    <w:tmpl w:val="FB7F0320"/>
    <w:lvl w:ilvl="0" w:tentative="0">
      <w:start w:val="1"/>
      <w:numFmt w:val="decimal"/>
      <w:lvlText w:val="%1."/>
      <w:lvlJc w:val="left"/>
      <w:pPr>
        <w:tabs>
          <w:tab w:val="left" w:pos="420"/>
        </w:tabs>
        <w:ind w:left="845" w:hanging="425"/>
      </w:pPr>
      <w:rPr>
        <w:rFonts w:hint="default"/>
      </w:rPr>
    </w:lvl>
  </w:abstractNum>
  <w:abstractNum w:abstractNumId="27">
    <w:nsid w:val="FD7D4E4A"/>
    <w:multiLevelType w:val="singleLevel"/>
    <w:tmpl w:val="FD7D4E4A"/>
    <w:lvl w:ilvl="0" w:tentative="0">
      <w:start w:val="1"/>
      <w:numFmt w:val="decimal"/>
      <w:lvlText w:val="(%1)"/>
      <w:lvlJc w:val="left"/>
    </w:lvl>
  </w:abstractNum>
  <w:abstractNum w:abstractNumId="28">
    <w:nsid w:val="FDFB73BB"/>
    <w:multiLevelType w:val="singleLevel"/>
    <w:tmpl w:val="FDFB73BB"/>
    <w:lvl w:ilvl="0" w:tentative="0">
      <w:start w:val="1"/>
      <w:numFmt w:val="decimal"/>
      <w:suff w:val="nothing"/>
      <w:lvlText w:val="（%1）"/>
      <w:lvlJc w:val="left"/>
    </w:lvl>
  </w:abstractNum>
  <w:abstractNum w:abstractNumId="29">
    <w:nsid w:val="FEBE5D27"/>
    <w:multiLevelType w:val="singleLevel"/>
    <w:tmpl w:val="FEBE5D27"/>
    <w:lvl w:ilvl="0" w:tentative="0">
      <w:start w:val="1"/>
      <w:numFmt w:val="decimal"/>
      <w:suff w:val="nothing"/>
      <w:lvlText w:val="（%1）"/>
      <w:lvlJc w:val="left"/>
    </w:lvl>
  </w:abstractNum>
  <w:abstractNum w:abstractNumId="30">
    <w:nsid w:val="FEFF92DA"/>
    <w:multiLevelType w:val="singleLevel"/>
    <w:tmpl w:val="FEFF92DA"/>
    <w:lvl w:ilvl="0" w:tentative="0">
      <w:start w:val="1"/>
      <w:numFmt w:val="decimal"/>
      <w:lvlText w:val="%1."/>
      <w:lvlJc w:val="left"/>
      <w:pPr>
        <w:tabs>
          <w:tab w:val="left" w:pos="312"/>
        </w:tabs>
      </w:pPr>
    </w:lvl>
  </w:abstractNum>
  <w:abstractNum w:abstractNumId="31">
    <w:nsid w:val="FFEC4D2A"/>
    <w:multiLevelType w:val="singleLevel"/>
    <w:tmpl w:val="FFEC4D2A"/>
    <w:lvl w:ilvl="0" w:tentative="0">
      <w:start w:val="1"/>
      <w:numFmt w:val="decimal"/>
      <w:lvlText w:val="%1."/>
      <w:lvlJc w:val="left"/>
      <w:pPr>
        <w:tabs>
          <w:tab w:val="left" w:pos="312"/>
        </w:tabs>
      </w:pPr>
    </w:lvl>
  </w:abstractNum>
  <w:abstractNum w:abstractNumId="32">
    <w:nsid w:val="FFEE787E"/>
    <w:multiLevelType w:val="singleLevel"/>
    <w:tmpl w:val="FFEE787E"/>
    <w:lvl w:ilvl="0" w:tentative="0">
      <w:start w:val="1"/>
      <w:numFmt w:val="decimal"/>
      <w:suff w:val="nothing"/>
      <w:lvlText w:val="（%1）"/>
      <w:lvlJc w:val="left"/>
    </w:lvl>
  </w:abstractNum>
  <w:abstractNum w:abstractNumId="33">
    <w:nsid w:val="FFFE6323"/>
    <w:multiLevelType w:val="singleLevel"/>
    <w:tmpl w:val="FFFE6323"/>
    <w:lvl w:ilvl="0" w:tentative="0">
      <w:start w:val="1"/>
      <w:numFmt w:val="decimal"/>
      <w:suff w:val="nothing"/>
      <w:lvlText w:val="（%1）"/>
      <w:lvlJc w:val="left"/>
    </w:lvl>
  </w:abstractNum>
  <w:abstractNum w:abstractNumId="34">
    <w:nsid w:val="FFFE70D5"/>
    <w:multiLevelType w:val="singleLevel"/>
    <w:tmpl w:val="FFFE70D5"/>
    <w:lvl w:ilvl="0" w:tentative="0">
      <w:start w:val="1"/>
      <w:numFmt w:val="decimal"/>
      <w:lvlText w:val="%1."/>
      <w:lvlJc w:val="left"/>
      <w:pPr>
        <w:tabs>
          <w:tab w:val="left" w:pos="312"/>
        </w:tabs>
      </w:pPr>
    </w:lvl>
  </w:abstractNum>
  <w:abstractNum w:abstractNumId="35">
    <w:nsid w:val="FFFF3D2B"/>
    <w:multiLevelType w:val="singleLevel"/>
    <w:tmpl w:val="FFFF3D2B"/>
    <w:lvl w:ilvl="0" w:tentative="0">
      <w:start w:val="1"/>
      <w:numFmt w:val="decimal"/>
      <w:suff w:val="nothing"/>
      <w:lvlText w:val="（%1）"/>
      <w:lvlJc w:val="left"/>
    </w:lvl>
  </w:abstractNum>
  <w:abstractNum w:abstractNumId="36">
    <w:nsid w:val="00000009"/>
    <w:multiLevelType w:val="multilevel"/>
    <w:tmpl w:val="00000009"/>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7">
    <w:nsid w:val="00000031"/>
    <w:multiLevelType w:val="multilevel"/>
    <w:tmpl w:val="00000031"/>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72416CC"/>
    <w:multiLevelType w:val="multilevel"/>
    <w:tmpl w:val="072416CC"/>
    <w:lvl w:ilvl="0" w:tentative="0">
      <w:start w:val="16"/>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073C4531"/>
    <w:multiLevelType w:val="singleLevel"/>
    <w:tmpl w:val="073C4531"/>
    <w:lvl w:ilvl="0" w:tentative="0">
      <w:start w:val="1"/>
      <w:numFmt w:val="decimalEnclosedCircleChinese"/>
      <w:suff w:val="nothing"/>
      <w:lvlText w:val="%1　"/>
      <w:lvlJc w:val="left"/>
      <w:pPr>
        <w:ind w:left="420" w:firstLine="400"/>
      </w:pPr>
      <w:rPr>
        <w:rFonts w:hint="eastAsia" w:ascii="仿宋" w:hAnsi="仿宋" w:eastAsia="仿宋" w:cs="仿宋"/>
        <w:b/>
        <w:bCs/>
        <w:sz w:val="24"/>
        <w:szCs w:val="24"/>
      </w:rPr>
    </w:lvl>
  </w:abstractNum>
  <w:abstractNum w:abstractNumId="40">
    <w:nsid w:val="0BF3C6B7"/>
    <w:multiLevelType w:val="multilevel"/>
    <w:tmpl w:val="0BF3C6B7"/>
    <w:lvl w:ilvl="0" w:tentative="0">
      <w:start w:val="2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仿宋" w:hAnsi="仿宋" w:eastAsia="仿宋"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1">
    <w:nsid w:val="0D594B58"/>
    <w:multiLevelType w:val="multilevel"/>
    <w:tmpl w:val="0D594B58"/>
    <w:lvl w:ilvl="0" w:tentative="0">
      <w:start w:val="10"/>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0E574A54"/>
    <w:multiLevelType w:val="multilevel"/>
    <w:tmpl w:val="0E574A54"/>
    <w:lvl w:ilvl="0" w:tentative="0">
      <w:start w:val="1"/>
      <w:numFmt w:val="japaneseCounting"/>
      <w:pStyle w:val="120"/>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43">
    <w:nsid w:val="15FFDF3A"/>
    <w:multiLevelType w:val="multilevel"/>
    <w:tmpl w:val="15FFDF3A"/>
    <w:lvl w:ilvl="0" w:tentative="0">
      <w:start w:val="1"/>
      <w:numFmt w:val="decimal"/>
      <w:lvlText w:val="(%1)"/>
      <w:lvlJc w:val="left"/>
      <w:pPr>
        <w:ind w:left="840" w:hanging="420"/>
      </w:pPr>
      <w:rPr>
        <w:rFonts w:hint="default" w:ascii="仿宋" w:hAnsi="仿宋" w:eastAsia="仿宋" w:cs="仿宋"/>
        <w:b/>
        <w:bCs/>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196D2C15"/>
    <w:multiLevelType w:val="multilevel"/>
    <w:tmpl w:val="196D2C15"/>
    <w:lvl w:ilvl="0" w:tentative="0">
      <w:start w:val="0"/>
      <w:numFmt w:val="none"/>
      <w:lvlText w:val=""/>
      <w:lvlJc w:val="left"/>
      <w:pPr>
        <w:tabs>
          <w:tab w:val="left" w:pos="360"/>
        </w:tabs>
      </w:pPr>
    </w:lvl>
    <w:lvl w:ilvl="1" w:tentative="0">
      <w:start w:val="1"/>
      <w:numFmt w:val="decimal"/>
      <w:lvlText w:val="%2."/>
      <w:lvlJc w:val="left"/>
      <w:pPr>
        <w:tabs>
          <w:tab w:val="left" w:pos="1248"/>
        </w:tabs>
        <w:ind w:left="1248" w:hanging="420"/>
      </w:pPr>
    </w:lvl>
    <w:lvl w:ilvl="2" w:tentative="0">
      <w:start w:val="1"/>
      <w:numFmt w:val="lowerRoman"/>
      <w:lvlText w:val="%3."/>
      <w:lvlJc w:val="right"/>
      <w:pPr>
        <w:tabs>
          <w:tab w:val="left" w:pos="1668"/>
        </w:tabs>
        <w:ind w:left="1668" w:hanging="420"/>
      </w:p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45">
    <w:nsid w:val="1B5B22A2"/>
    <w:multiLevelType w:val="multilevel"/>
    <w:tmpl w:val="1B5B22A2"/>
    <w:lvl w:ilvl="0" w:tentative="0">
      <w:start w:val="7"/>
      <w:numFmt w:val="bullet"/>
      <w:lvlText w:val="□"/>
      <w:lvlJc w:val="left"/>
      <w:pPr>
        <w:ind w:left="782" w:hanging="360"/>
      </w:pPr>
      <w:rPr>
        <w:rFonts w:hint="eastAsia" w:ascii="宋体" w:hAnsi="宋体" w:eastAsia="宋体" w:cs="Times New Roman"/>
        <w:b/>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46">
    <w:nsid w:val="21E1E6E9"/>
    <w:multiLevelType w:val="singleLevel"/>
    <w:tmpl w:val="21E1E6E9"/>
    <w:lvl w:ilvl="0" w:tentative="0">
      <w:start w:val="1"/>
      <w:numFmt w:val="decimal"/>
      <w:suff w:val="nothing"/>
      <w:lvlText w:val="（%1）"/>
      <w:lvlJc w:val="left"/>
      <w:rPr>
        <w:rFonts w:hint="default"/>
        <w:sz w:val="24"/>
        <w:szCs w:val="24"/>
      </w:rPr>
    </w:lvl>
  </w:abstractNum>
  <w:abstractNum w:abstractNumId="47">
    <w:nsid w:val="21E80374"/>
    <w:multiLevelType w:val="multilevel"/>
    <w:tmpl w:val="21E80374"/>
    <w:lvl w:ilvl="0" w:tentative="0">
      <w:start w:val="14"/>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23DE295C"/>
    <w:multiLevelType w:val="singleLevel"/>
    <w:tmpl w:val="23DE295C"/>
    <w:lvl w:ilvl="0" w:tentative="0">
      <w:start w:val="1"/>
      <w:numFmt w:val="decimal"/>
      <w:lvlText w:val="%1."/>
      <w:lvlJc w:val="left"/>
      <w:pPr>
        <w:tabs>
          <w:tab w:val="left" w:pos="420"/>
        </w:tabs>
        <w:ind w:left="845" w:hanging="425"/>
      </w:pPr>
      <w:rPr>
        <w:rFonts w:hint="default"/>
      </w:rPr>
    </w:lvl>
  </w:abstractNum>
  <w:abstractNum w:abstractNumId="49">
    <w:nsid w:val="2C701240"/>
    <w:multiLevelType w:val="multilevel"/>
    <w:tmpl w:val="2C701240"/>
    <w:lvl w:ilvl="0" w:tentative="0">
      <w:start w:val="7"/>
      <w:numFmt w:val="japaneseCounting"/>
      <w:lvlText w:val="【第%1条】"/>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32995667"/>
    <w:multiLevelType w:val="multilevel"/>
    <w:tmpl w:val="32995667"/>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1">
    <w:nsid w:val="3490DF8D"/>
    <w:multiLevelType w:val="singleLevel"/>
    <w:tmpl w:val="3490DF8D"/>
    <w:lvl w:ilvl="0" w:tentative="0">
      <w:start w:val="1"/>
      <w:numFmt w:val="decimal"/>
      <w:suff w:val="nothing"/>
      <w:lvlText w:val="（%1）"/>
      <w:lvlJc w:val="left"/>
    </w:lvl>
  </w:abstractNum>
  <w:abstractNum w:abstractNumId="52">
    <w:nsid w:val="3E435A58"/>
    <w:multiLevelType w:val="multilevel"/>
    <w:tmpl w:val="3E435A58"/>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4282306C"/>
    <w:multiLevelType w:val="multilevel"/>
    <w:tmpl w:val="4282306C"/>
    <w:lvl w:ilvl="0" w:tentative="0">
      <w:start w:val="1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433F7D65"/>
    <w:multiLevelType w:val="multilevel"/>
    <w:tmpl w:val="433F7D65"/>
    <w:lvl w:ilvl="0" w:tentative="0">
      <w:start w:val="1"/>
      <w:numFmt w:val="decimal"/>
      <w:lvlText w:val="(%1)"/>
      <w:lvlJc w:val="left"/>
      <w:pPr>
        <w:ind w:left="840" w:hanging="420"/>
      </w:pPr>
      <w:rPr>
        <w:rFonts w:hint="default" w:ascii="仿宋" w:hAnsi="仿宋" w:eastAsia="仿宋" w:cs="仿宋"/>
        <w:b/>
        <w:bCs/>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5">
    <w:nsid w:val="435A1E32"/>
    <w:multiLevelType w:val="multilevel"/>
    <w:tmpl w:val="435A1E32"/>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44AB25C6"/>
    <w:multiLevelType w:val="multilevel"/>
    <w:tmpl w:val="44AB25C6"/>
    <w:lvl w:ilvl="0" w:tentative="0">
      <w:start w:val="17"/>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46560881"/>
    <w:multiLevelType w:val="multilevel"/>
    <w:tmpl w:val="46560881"/>
    <w:lvl w:ilvl="0" w:tentative="0">
      <w:start w:val="13"/>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47595121"/>
    <w:multiLevelType w:val="multilevel"/>
    <w:tmpl w:val="47595121"/>
    <w:lvl w:ilvl="0" w:tentative="0">
      <w:start w:val="1"/>
      <w:numFmt w:val="decimal"/>
      <w:lvlText w:val="(%1)"/>
      <w:lvlJc w:val="left"/>
      <w:pPr>
        <w:ind w:left="840" w:hanging="420"/>
      </w:pPr>
      <w:rPr>
        <w:rFonts w:hint="default" w:ascii="仿宋" w:hAnsi="仿宋" w:eastAsia="仿宋" w:cs="仿宋"/>
        <w:b w:val="0"/>
        <w:bCs/>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9">
    <w:nsid w:val="47FE2F56"/>
    <w:multiLevelType w:val="singleLevel"/>
    <w:tmpl w:val="47FE2F56"/>
    <w:lvl w:ilvl="0" w:tentative="0">
      <w:start w:val="1"/>
      <w:numFmt w:val="decimal"/>
      <w:lvlText w:val="%1."/>
      <w:lvlJc w:val="left"/>
      <w:pPr>
        <w:ind w:left="425" w:hanging="425"/>
      </w:pPr>
      <w:rPr>
        <w:rFonts w:hint="default"/>
      </w:rPr>
    </w:lvl>
  </w:abstractNum>
  <w:abstractNum w:abstractNumId="60">
    <w:nsid w:val="494A52A3"/>
    <w:multiLevelType w:val="multilevel"/>
    <w:tmpl w:val="494A52A3"/>
    <w:lvl w:ilvl="0" w:tentative="0">
      <w:start w:val="8"/>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1">
    <w:nsid w:val="4DCBFF6D"/>
    <w:multiLevelType w:val="singleLevel"/>
    <w:tmpl w:val="4DCBFF6D"/>
    <w:lvl w:ilvl="0" w:tentative="0">
      <w:start w:val="1"/>
      <w:numFmt w:val="decimal"/>
      <w:lvlText w:val="%1."/>
      <w:lvlJc w:val="left"/>
      <w:pPr>
        <w:tabs>
          <w:tab w:val="left" w:pos="312"/>
        </w:tabs>
      </w:pPr>
    </w:lvl>
  </w:abstractNum>
  <w:abstractNum w:abstractNumId="62">
    <w:nsid w:val="51F15164"/>
    <w:multiLevelType w:val="multilevel"/>
    <w:tmpl w:val="51F15164"/>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3">
    <w:nsid w:val="53B930DC"/>
    <w:multiLevelType w:val="multilevel"/>
    <w:tmpl w:val="53B930DC"/>
    <w:lvl w:ilvl="0" w:tentative="0">
      <w:start w:val="9"/>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4">
    <w:nsid w:val="581F5BB0"/>
    <w:multiLevelType w:val="multilevel"/>
    <w:tmpl w:val="581F5BB0"/>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仿宋" w:hAnsi="仿宋"/>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5">
    <w:nsid w:val="5C172646"/>
    <w:multiLevelType w:val="multilevel"/>
    <w:tmpl w:val="5C172646"/>
    <w:lvl w:ilvl="0" w:tentative="0">
      <w:start w:val="2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6">
    <w:nsid w:val="5D5DDC74"/>
    <w:multiLevelType w:val="singleLevel"/>
    <w:tmpl w:val="5D5DDC74"/>
    <w:lvl w:ilvl="0" w:tentative="0">
      <w:start w:val="1"/>
      <w:numFmt w:val="decimal"/>
      <w:lvlText w:val="%1."/>
      <w:lvlJc w:val="left"/>
      <w:pPr>
        <w:tabs>
          <w:tab w:val="left" w:pos="312"/>
        </w:tabs>
      </w:pPr>
    </w:lvl>
  </w:abstractNum>
  <w:abstractNum w:abstractNumId="67">
    <w:nsid w:val="5FDF326D"/>
    <w:multiLevelType w:val="singleLevel"/>
    <w:tmpl w:val="5FDF326D"/>
    <w:lvl w:ilvl="0" w:tentative="0">
      <w:start w:val="1"/>
      <w:numFmt w:val="decimal"/>
      <w:lvlText w:val="%1."/>
      <w:lvlJc w:val="left"/>
      <w:pPr>
        <w:tabs>
          <w:tab w:val="left" w:pos="312"/>
        </w:tabs>
      </w:pPr>
    </w:lvl>
  </w:abstractNum>
  <w:abstractNum w:abstractNumId="68">
    <w:nsid w:val="60FA175C"/>
    <w:multiLevelType w:val="multilevel"/>
    <w:tmpl w:val="60FA175C"/>
    <w:lvl w:ilvl="0" w:tentative="0">
      <w:start w:val="27"/>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9">
    <w:nsid w:val="63AD33EA"/>
    <w:multiLevelType w:val="multilevel"/>
    <w:tmpl w:val="63AD33EA"/>
    <w:lvl w:ilvl="0" w:tentative="0">
      <w:start w:val="12"/>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0">
    <w:nsid w:val="65C48241"/>
    <w:multiLevelType w:val="singleLevel"/>
    <w:tmpl w:val="65C48241"/>
    <w:lvl w:ilvl="0" w:tentative="0">
      <w:start w:val="1"/>
      <w:numFmt w:val="decimal"/>
      <w:suff w:val="nothing"/>
      <w:lvlText w:val="%1."/>
      <w:lvlJc w:val="left"/>
    </w:lvl>
  </w:abstractNum>
  <w:abstractNum w:abstractNumId="71">
    <w:nsid w:val="66629D5E"/>
    <w:multiLevelType w:val="singleLevel"/>
    <w:tmpl w:val="66629D5E"/>
    <w:lvl w:ilvl="0" w:tentative="0">
      <w:start w:val="1"/>
      <w:numFmt w:val="decimal"/>
      <w:suff w:val="nothing"/>
      <w:lvlText w:val="%1."/>
      <w:lvlJc w:val="left"/>
    </w:lvl>
  </w:abstractNum>
  <w:abstractNum w:abstractNumId="72">
    <w:nsid w:val="66629D82"/>
    <w:multiLevelType w:val="singleLevel"/>
    <w:tmpl w:val="66629D82"/>
    <w:lvl w:ilvl="0" w:tentative="0">
      <w:start w:val="14"/>
      <w:numFmt w:val="decimal"/>
      <w:suff w:val="nothing"/>
      <w:lvlText w:val="%1."/>
      <w:lvlJc w:val="left"/>
    </w:lvl>
  </w:abstractNum>
  <w:abstractNum w:abstractNumId="73">
    <w:nsid w:val="688C2940"/>
    <w:multiLevelType w:val="singleLevel"/>
    <w:tmpl w:val="688C2940"/>
    <w:lvl w:ilvl="0" w:tentative="0">
      <w:start w:val="1"/>
      <w:numFmt w:val="decimal"/>
      <w:suff w:val="nothing"/>
      <w:lvlText w:val="%1."/>
      <w:lvlJc w:val="left"/>
    </w:lvl>
  </w:abstractNum>
  <w:abstractNum w:abstractNumId="74">
    <w:nsid w:val="6B49DE86"/>
    <w:multiLevelType w:val="multilevel"/>
    <w:tmpl w:val="6B49DE86"/>
    <w:lvl w:ilvl="0" w:tentative="0">
      <w:start w:val="1"/>
      <w:numFmt w:val="decimal"/>
      <w:lvlText w:val="%1."/>
      <w:lvlJc w:val="left"/>
      <w:pPr>
        <w:ind w:left="840" w:hanging="420"/>
      </w:pPr>
      <w:rPr>
        <w:rFonts w:hint="default"/>
        <w:b w:val="0"/>
        <w:bCs/>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5">
    <w:nsid w:val="6BBF355C"/>
    <w:multiLevelType w:val="singleLevel"/>
    <w:tmpl w:val="6BBF355C"/>
    <w:lvl w:ilvl="0" w:tentative="0">
      <w:start w:val="1"/>
      <w:numFmt w:val="decimal"/>
      <w:suff w:val="nothing"/>
      <w:lvlText w:val="（%1）"/>
      <w:lvlJc w:val="left"/>
    </w:lvl>
  </w:abstractNum>
  <w:abstractNum w:abstractNumId="76">
    <w:nsid w:val="6ECF26EB"/>
    <w:multiLevelType w:val="singleLevel"/>
    <w:tmpl w:val="6ECF26EB"/>
    <w:lvl w:ilvl="0" w:tentative="0">
      <w:start w:val="1"/>
      <w:numFmt w:val="decimal"/>
      <w:lvlText w:val="%1."/>
      <w:lvlJc w:val="left"/>
      <w:pPr>
        <w:tabs>
          <w:tab w:val="left" w:pos="312"/>
        </w:tabs>
      </w:pPr>
      <w:rPr>
        <w:rFonts w:hint="default"/>
        <w:b w:val="0"/>
        <w:bCs w:val="0"/>
      </w:rPr>
    </w:lvl>
  </w:abstractNum>
  <w:abstractNum w:abstractNumId="77">
    <w:nsid w:val="71F91B3A"/>
    <w:multiLevelType w:val="multilevel"/>
    <w:tmpl w:val="71F91B3A"/>
    <w:lvl w:ilvl="0" w:tentative="0">
      <w:start w:val="18"/>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仿宋" w:hAnsi="仿宋" w:eastAsia="仿宋"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8">
    <w:nsid w:val="72E7568D"/>
    <w:multiLevelType w:val="multilevel"/>
    <w:tmpl w:val="72E7568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9">
    <w:nsid w:val="776C3686"/>
    <w:multiLevelType w:val="multilevel"/>
    <w:tmpl w:val="776C368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0">
    <w:nsid w:val="79015E9A"/>
    <w:multiLevelType w:val="multilevel"/>
    <w:tmpl w:val="79015E9A"/>
    <w:lvl w:ilvl="0" w:tentative="0">
      <w:start w:val="15"/>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1">
    <w:nsid w:val="7ACF1C24"/>
    <w:multiLevelType w:val="multilevel"/>
    <w:tmpl w:val="7ACF1C24"/>
    <w:lvl w:ilvl="0" w:tentative="0">
      <w:start w:val="7"/>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2">
    <w:nsid w:val="7B3AC7D3"/>
    <w:multiLevelType w:val="singleLevel"/>
    <w:tmpl w:val="7B3AC7D3"/>
    <w:lvl w:ilvl="0" w:tentative="0">
      <w:start w:val="1"/>
      <w:numFmt w:val="decimal"/>
      <w:lvlText w:val="%1."/>
      <w:lvlJc w:val="left"/>
      <w:pPr>
        <w:tabs>
          <w:tab w:val="left" w:pos="312"/>
        </w:tabs>
      </w:pPr>
    </w:lvl>
  </w:abstractNum>
  <w:abstractNum w:abstractNumId="83">
    <w:nsid w:val="7E7B4FBE"/>
    <w:multiLevelType w:val="multilevel"/>
    <w:tmpl w:val="7E7B4FBE"/>
    <w:lvl w:ilvl="0" w:tentative="0">
      <w:start w:val="2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仿宋" w:hAnsi="仿宋" w:eastAsia="仿宋"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4">
    <w:nsid w:val="7EFCFA43"/>
    <w:multiLevelType w:val="multilevel"/>
    <w:tmpl w:val="7EFCFA43"/>
    <w:lvl w:ilvl="0" w:tentative="0">
      <w:start w:val="19"/>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仿宋" w:hAnsi="仿宋" w:eastAsia="仿宋"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6"/>
  </w:num>
  <w:num w:numId="2">
    <w:abstractNumId w:val="42"/>
  </w:num>
  <w:num w:numId="3">
    <w:abstractNumId w:val="20"/>
  </w:num>
  <w:num w:numId="4">
    <w:abstractNumId w:val="22"/>
  </w:num>
  <w:num w:numId="5">
    <w:abstractNumId w:val="70"/>
  </w:num>
  <w:num w:numId="6">
    <w:abstractNumId w:val="12"/>
  </w:num>
  <w:num w:numId="7">
    <w:abstractNumId w:val="26"/>
  </w:num>
  <w:num w:numId="8">
    <w:abstractNumId w:val="25"/>
  </w:num>
  <w:num w:numId="9">
    <w:abstractNumId w:val="48"/>
  </w:num>
  <w:num w:numId="10">
    <w:abstractNumId w:val="17"/>
  </w:num>
  <w:num w:numId="11">
    <w:abstractNumId w:val="19"/>
  </w:num>
  <w:num w:numId="12">
    <w:abstractNumId w:val="55"/>
  </w:num>
  <w:num w:numId="13">
    <w:abstractNumId w:val="75"/>
  </w:num>
  <w:num w:numId="14">
    <w:abstractNumId w:val="46"/>
  </w:num>
  <w:num w:numId="15">
    <w:abstractNumId w:val="32"/>
  </w:num>
  <w:num w:numId="16">
    <w:abstractNumId w:val="3"/>
  </w:num>
  <w:num w:numId="17">
    <w:abstractNumId w:val="59"/>
  </w:num>
  <w:num w:numId="18">
    <w:abstractNumId w:val="7"/>
  </w:num>
  <w:num w:numId="19">
    <w:abstractNumId w:val="78"/>
  </w:num>
  <w:num w:numId="20">
    <w:abstractNumId w:val="23"/>
  </w:num>
  <w:num w:numId="21">
    <w:abstractNumId w:val="64"/>
  </w:num>
  <w:num w:numId="22">
    <w:abstractNumId w:val="81"/>
  </w:num>
  <w:num w:numId="23">
    <w:abstractNumId w:val="54"/>
  </w:num>
  <w:num w:numId="24">
    <w:abstractNumId w:val="39"/>
  </w:num>
  <w:num w:numId="25">
    <w:abstractNumId w:val="10"/>
  </w:num>
  <w:num w:numId="26">
    <w:abstractNumId w:val="60"/>
  </w:num>
  <w:num w:numId="27">
    <w:abstractNumId w:val="63"/>
  </w:num>
  <w:num w:numId="28">
    <w:abstractNumId w:val="41"/>
  </w:num>
  <w:num w:numId="29">
    <w:abstractNumId w:val="43"/>
  </w:num>
  <w:num w:numId="30">
    <w:abstractNumId w:val="53"/>
  </w:num>
  <w:num w:numId="31">
    <w:abstractNumId w:val="69"/>
  </w:num>
  <w:num w:numId="32">
    <w:abstractNumId w:val="24"/>
  </w:num>
  <w:num w:numId="33">
    <w:abstractNumId w:val="57"/>
  </w:num>
  <w:num w:numId="34">
    <w:abstractNumId w:val="47"/>
  </w:num>
  <w:num w:numId="35">
    <w:abstractNumId w:val="80"/>
  </w:num>
  <w:num w:numId="36">
    <w:abstractNumId w:val="38"/>
  </w:num>
  <w:num w:numId="37">
    <w:abstractNumId w:val="56"/>
  </w:num>
  <w:num w:numId="38">
    <w:abstractNumId w:val="77"/>
  </w:num>
  <w:num w:numId="39">
    <w:abstractNumId w:val="84"/>
  </w:num>
  <w:num w:numId="40">
    <w:abstractNumId w:val="40"/>
  </w:num>
  <w:num w:numId="41">
    <w:abstractNumId w:val="83"/>
  </w:num>
  <w:num w:numId="42">
    <w:abstractNumId w:val="18"/>
  </w:num>
  <w:num w:numId="43">
    <w:abstractNumId w:val="65"/>
  </w:num>
  <w:num w:numId="44">
    <w:abstractNumId w:val="11"/>
  </w:num>
  <w:num w:numId="45">
    <w:abstractNumId w:val="4"/>
  </w:num>
  <w:num w:numId="46">
    <w:abstractNumId w:val="68"/>
  </w:num>
  <w:num w:numId="47">
    <w:abstractNumId w:val="2"/>
  </w:num>
  <w:num w:numId="48">
    <w:abstractNumId w:val="76"/>
  </w:num>
  <w:num w:numId="49">
    <w:abstractNumId w:val="49"/>
  </w:num>
  <w:num w:numId="50">
    <w:abstractNumId w:val="45"/>
  </w:num>
  <w:num w:numId="51">
    <w:abstractNumId w:val="50"/>
  </w:num>
  <w:num w:numId="52">
    <w:abstractNumId w:val="9"/>
  </w:num>
  <w:num w:numId="53">
    <w:abstractNumId w:val="71"/>
  </w:num>
  <w:num w:numId="54">
    <w:abstractNumId w:val="72"/>
  </w:num>
  <w:num w:numId="55">
    <w:abstractNumId w:val="62"/>
  </w:num>
  <w:num w:numId="56">
    <w:abstractNumId w:val="15"/>
  </w:num>
  <w:num w:numId="57">
    <w:abstractNumId w:val="13"/>
  </w:num>
  <w:num w:numId="58">
    <w:abstractNumId w:val="34"/>
  </w:num>
  <w:num w:numId="59">
    <w:abstractNumId w:val="21"/>
  </w:num>
  <w:num w:numId="60">
    <w:abstractNumId w:val="14"/>
  </w:num>
  <w:num w:numId="61">
    <w:abstractNumId w:val="74"/>
  </w:num>
  <w:num w:numId="62">
    <w:abstractNumId w:val="73"/>
  </w:num>
  <w:num w:numId="63">
    <w:abstractNumId w:val="44"/>
  </w:num>
  <w:num w:numId="64">
    <w:abstractNumId w:val="1"/>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8"/>
  </w:num>
  <w:num w:numId="67">
    <w:abstractNumId w:val="8"/>
  </w:num>
  <w:num w:numId="68">
    <w:abstractNumId w:val="51"/>
  </w:num>
  <w:num w:numId="69">
    <w:abstractNumId w:val="29"/>
  </w:num>
  <w:num w:numId="70">
    <w:abstractNumId w:val="66"/>
  </w:num>
  <w:num w:numId="71">
    <w:abstractNumId w:val="0"/>
  </w:num>
  <w:num w:numId="72">
    <w:abstractNumId w:val="35"/>
  </w:num>
  <w:num w:numId="73">
    <w:abstractNumId w:val="33"/>
  </w:num>
  <w:num w:numId="74">
    <w:abstractNumId w:val="31"/>
  </w:num>
  <w:num w:numId="75">
    <w:abstractNumId w:val="28"/>
  </w:num>
  <w:num w:numId="76">
    <w:abstractNumId w:val="61"/>
  </w:num>
  <w:num w:numId="77">
    <w:abstractNumId w:val="5"/>
  </w:num>
  <w:num w:numId="78">
    <w:abstractNumId w:val="16"/>
  </w:num>
  <w:num w:numId="79">
    <w:abstractNumId w:val="67"/>
  </w:num>
  <w:num w:numId="80">
    <w:abstractNumId w:val="37"/>
  </w:num>
  <w:num w:numId="81">
    <w:abstractNumId w:val="27"/>
  </w:num>
  <w:num w:numId="82">
    <w:abstractNumId w:val="30"/>
  </w:num>
  <w:num w:numId="83">
    <w:abstractNumId w:val="6"/>
  </w:num>
  <w:num w:numId="84">
    <w:abstractNumId w:val="82"/>
  </w:num>
  <w:num w:numId="85">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5N2E1YWUwZTAwMzQ0ODFjYTgxM2E5Y2Y1N2EyOGIifQ=="/>
  </w:docVars>
  <w:rsids>
    <w:rsidRoot w:val="00172A27"/>
    <w:rsid w:val="00001248"/>
    <w:rsid w:val="00001B35"/>
    <w:rsid w:val="00004D50"/>
    <w:rsid w:val="000073E8"/>
    <w:rsid w:val="00013C58"/>
    <w:rsid w:val="000153B4"/>
    <w:rsid w:val="000161B6"/>
    <w:rsid w:val="00021EC7"/>
    <w:rsid w:val="00022882"/>
    <w:rsid w:val="00031D45"/>
    <w:rsid w:val="00032C89"/>
    <w:rsid w:val="00032F4E"/>
    <w:rsid w:val="00040BF1"/>
    <w:rsid w:val="00043AC1"/>
    <w:rsid w:val="00047713"/>
    <w:rsid w:val="00047FB1"/>
    <w:rsid w:val="00053FC2"/>
    <w:rsid w:val="000548CA"/>
    <w:rsid w:val="00064F76"/>
    <w:rsid w:val="00067C96"/>
    <w:rsid w:val="00070B27"/>
    <w:rsid w:val="00070D8A"/>
    <w:rsid w:val="00072C52"/>
    <w:rsid w:val="00076492"/>
    <w:rsid w:val="00077904"/>
    <w:rsid w:val="00080777"/>
    <w:rsid w:val="0008169E"/>
    <w:rsid w:val="00082E29"/>
    <w:rsid w:val="00082F43"/>
    <w:rsid w:val="00083C1C"/>
    <w:rsid w:val="00083C7B"/>
    <w:rsid w:val="00084070"/>
    <w:rsid w:val="000841F5"/>
    <w:rsid w:val="000855D4"/>
    <w:rsid w:val="000867D4"/>
    <w:rsid w:val="000969BF"/>
    <w:rsid w:val="0009798D"/>
    <w:rsid w:val="000A03F4"/>
    <w:rsid w:val="000A13D7"/>
    <w:rsid w:val="000A3B0E"/>
    <w:rsid w:val="000A41D4"/>
    <w:rsid w:val="000A4206"/>
    <w:rsid w:val="000A4B12"/>
    <w:rsid w:val="000A6A7F"/>
    <w:rsid w:val="000A72E3"/>
    <w:rsid w:val="000B0047"/>
    <w:rsid w:val="000B1E70"/>
    <w:rsid w:val="000B3600"/>
    <w:rsid w:val="000B5624"/>
    <w:rsid w:val="000C1C79"/>
    <w:rsid w:val="000C2E88"/>
    <w:rsid w:val="000C5C50"/>
    <w:rsid w:val="000C5F49"/>
    <w:rsid w:val="000C6882"/>
    <w:rsid w:val="000D0CBB"/>
    <w:rsid w:val="000D129D"/>
    <w:rsid w:val="000E26A7"/>
    <w:rsid w:val="000E26AC"/>
    <w:rsid w:val="000E65F7"/>
    <w:rsid w:val="000E7706"/>
    <w:rsid w:val="000F4E95"/>
    <w:rsid w:val="000F7997"/>
    <w:rsid w:val="00107434"/>
    <w:rsid w:val="00107566"/>
    <w:rsid w:val="00107FDD"/>
    <w:rsid w:val="00110508"/>
    <w:rsid w:val="00114D95"/>
    <w:rsid w:val="0011651C"/>
    <w:rsid w:val="001172CB"/>
    <w:rsid w:val="00122035"/>
    <w:rsid w:val="0012222E"/>
    <w:rsid w:val="00124BAB"/>
    <w:rsid w:val="00125EE1"/>
    <w:rsid w:val="001267C6"/>
    <w:rsid w:val="00137C11"/>
    <w:rsid w:val="0014018C"/>
    <w:rsid w:val="00140D41"/>
    <w:rsid w:val="00141383"/>
    <w:rsid w:val="00143056"/>
    <w:rsid w:val="00145653"/>
    <w:rsid w:val="00145D12"/>
    <w:rsid w:val="00145E61"/>
    <w:rsid w:val="00147FFA"/>
    <w:rsid w:val="001501B1"/>
    <w:rsid w:val="00151787"/>
    <w:rsid w:val="00152430"/>
    <w:rsid w:val="00152C7F"/>
    <w:rsid w:val="00156BE0"/>
    <w:rsid w:val="001572DB"/>
    <w:rsid w:val="00160C85"/>
    <w:rsid w:val="00162603"/>
    <w:rsid w:val="0016300F"/>
    <w:rsid w:val="00163266"/>
    <w:rsid w:val="00170F2E"/>
    <w:rsid w:val="00171941"/>
    <w:rsid w:val="00172A27"/>
    <w:rsid w:val="00175EE9"/>
    <w:rsid w:val="00177947"/>
    <w:rsid w:val="001819C3"/>
    <w:rsid w:val="00181A67"/>
    <w:rsid w:val="00184546"/>
    <w:rsid w:val="00185128"/>
    <w:rsid w:val="001853F1"/>
    <w:rsid w:val="00185D0D"/>
    <w:rsid w:val="0018639C"/>
    <w:rsid w:val="00186527"/>
    <w:rsid w:val="001872C3"/>
    <w:rsid w:val="00191132"/>
    <w:rsid w:val="00193D85"/>
    <w:rsid w:val="00195E43"/>
    <w:rsid w:val="001A060B"/>
    <w:rsid w:val="001A6688"/>
    <w:rsid w:val="001B1866"/>
    <w:rsid w:val="001B4C3D"/>
    <w:rsid w:val="001B5567"/>
    <w:rsid w:val="001B5B7A"/>
    <w:rsid w:val="001B62DB"/>
    <w:rsid w:val="001B6471"/>
    <w:rsid w:val="001B7E5D"/>
    <w:rsid w:val="001C2685"/>
    <w:rsid w:val="001C4114"/>
    <w:rsid w:val="001C6146"/>
    <w:rsid w:val="001C6205"/>
    <w:rsid w:val="001C6F03"/>
    <w:rsid w:val="001D5033"/>
    <w:rsid w:val="001D7102"/>
    <w:rsid w:val="001E171B"/>
    <w:rsid w:val="001F000C"/>
    <w:rsid w:val="001F04F5"/>
    <w:rsid w:val="001F1379"/>
    <w:rsid w:val="001F2343"/>
    <w:rsid w:val="001F722F"/>
    <w:rsid w:val="001F7D41"/>
    <w:rsid w:val="00201014"/>
    <w:rsid w:val="00201A35"/>
    <w:rsid w:val="0020647E"/>
    <w:rsid w:val="00207C6C"/>
    <w:rsid w:val="00216443"/>
    <w:rsid w:val="002164FC"/>
    <w:rsid w:val="002205BB"/>
    <w:rsid w:val="00220FB8"/>
    <w:rsid w:val="00220FCE"/>
    <w:rsid w:val="00221BA1"/>
    <w:rsid w:val="00222151"/>
    <w:rsid w:val="002243EA"/>
    <w:rsid w:val="00226E87"/>
    <w:rsid w:val="002329AF"/>
    <w:rsid w:val="002336A5"/>
    <w:rsid w:val="00235CB4"/>
    <w:rsid w:val="00237FFA"/>
    <w:rsid w:val="002401A9"/>
    <w:rsid w:val="00250515"/>
    <w:rsid w:val="00251F77"/>
    <w:rsid w:val="0025214A"/>
    <w:rsid w:val="002523B3"/>
    <w:rsid w:val="00253336"/>
    <w:rsid w:val="00253652"/>
    <w:rsid w:val="00257E4F"/>
    <w:rsid w:val="00262B91"/>
    <w:rsid w:val="00263173"/>
    <w:rsid w:val="002708B3"/>
    <w:rsid w:val="00270AE9"/>
    <w:rsid w:val="00270E6E"/>
    <w:rsid w:val="00271A23"/>
    <w:rsid w:val="00275D9E"/>
    <w:rsid w:val="00281BF0"/>
    <w:rsid w:val="00281E14"/>
    <w:rsid w:val="0028326A"/>
    <w:rsid w:val="002835D6"/>
    <w:rsid w:val="0028772A"/>
    <w:rsid w:val="00290591"/>
    <w:rsid w:val="00292750"/>
    <w:rsid w:val="00292C1C"/>
    <w:rsid w:val="002941F3"/>
    <w:rsid w:val="002A20D6"/>
    <w:rsid w:val="002A4B04"/>
    <w:rsid w:val="002A757B"/>
    <w:rsid w:val="002B0820"/>
    <w:rsid w:val="002B24CD"/>
    <w:rsid w:val="002B2AEC"/>
    <w:rsid w:val="002B760D"/>
    <w:rsid w:val="002C0EF5"/>
    <w:rsid w:val="002C3532"/>
    <w:rsid w:val="002C4316"/>
    <w:rsid w:val="002C45E8"/>
    <w:rsid w:val="002D050A"/>
    <w:rsid w:val="002D0A50"/>
    <w:rsid w:val="002D2703"/>
    <w:rsid w:val="002D453A"/>
    <w:rsid w:val="002D57B0"/>
    <w:rsid w:val="002D73F6"/>
    <w:rsid w:val="002E19EC"/>
    <w:rsid w:val="002E237F"/>
    <w:rsid w:val="002E2B58"/>
    <w:rsid w:val="002F040B"/>
    <w:rsid w:val="002F042E"/>
    <w:rsid w:val="002F1005"/>
    <w:rsid w:val="002F530E"/>
    <w:rsid w:val="002F7A0C"/>
    <w:rsid w:val="0030054A"/>
    <w:rsid w:val="00301162"/>
    <w:rsid w:val="00301976"/>
    <w:rsid w:val="0030208D"/>
    <w:rsid w:val="00302A8F"/>
    <w:rsid w:val="00302B09"/>
    <w:rsid w:val="0030378E"/>
    <w:rsid w:val="00306756"/>
    <w:rsid w:val="00307547"/>
    <w:rsid w:val="003102E4"/>
    <w:rsid w:val="0031410C"/>
    <w:rsid w:val="00315E56"/>
    <w:rsid w:val="003231DA"/>
    <w:rsid w:val="00332C4A"/>
    <w:rsid w:val="003333B2"/>
    <w:rsid w:val="0033434E"/>
    <w:rsid w:val="00335098"/>
    <w:rsid w:val="00337490"/>
    <w:rsid w:val="00340482"/>
    <w:rsid w:val="00341FD1"/>
    <w:rsid w:val="00345931"/>
    <w:rsid w:val="00350ABE"/>
    <w:rsid w:val="00361900"/>
    <w:rsid w:val="003675B6"/>
    <w:rsid w:val="00377295"/>
    <w:rsid w:val="003775D4"/>
    <w:rsid w:val="00380A21"/>
    <w:rsid w:val="00380E92"/>
    <w:rsid w:val="003839C0"/>
    <w:rsid w:val="00385223"/>
    <w:rsid w:val="00386844"/>
    <w:rsid w:val="003876CD"/>
    <w:rsid w:val="003925DB"/>
    <w:rsid w:val="00392BAE"/>
    <w:rsid w:val="003A1643"/>
    <w:rsid w:val="003A372F"/>
    <w:rsid w:val="003A416F"/>
    <w:rsid w:val="003A60EE"/>
    <w:rsid w:val="003A7A42"/>
    <w:rsid w:val="003B067D"/>
    <w:rsid w:val="003B126B"/>
    <w:rsid w:val="003B347B"/>
    <w:rsid w:val="003B7A74"/>
    <w:rsid w:val="003C0543"/>
    <w:rsid w:val="003C1E9F"/>
    <w:rsid w:val="003C4490"/>
    <w:rsid w:val="003C6792"/>
    <w:rsid w:val="003C7CA9"/>
    <w:rsid w:val="003D0617"/>
    <w:rsid w:val="003D2A1F"/>
    <w:rsid w:val="003D3178"/>
    <w:rsid w:val="003E0429"/>
    <w:rsid w:val="003E3222"/>
    <w:rsid w:val="003E3843"/>
    <w:rsid w:val="003E39E5"/>
    <w:rsid w:val="003F1D14"/>
    <w:rsid w:val="003F2D4C"/>
    <w:rsid w:val="003F79AD"/>
    <w:rsid w:val="003F7C88"/>
    <w:rsid w:val="0040177B"/>
    <w:rsid w:val="004018F6"/>
    <w:rsid w:val="00401C7F"/>
    <w:rsid w:val="0040508F"/>
    <w:rsid w:val="00407A2E"/>
    <w:rsid w:val="0041246D"/>
    <w:rsid w:val="00414141"/>
    <w:rsid w:val="0042341B"/>
    <w:rsid w:val="00423A07"/>
    <w:rsid w:val="00423A21"/>
    <w:rsid w:val="0042474D"/>
    <w:rsid w:val="004256E6"/>
    <w:rsid w:val="00427A89"/>
    <w:rsid w:val="0043070F"/>
    <w:rsid w:val="00431A45"/>
    <w:rsid w:val="0043380E"/>
    <w:rsid w:val="00437804"/>
    <w:rsid w:val="004401B7"/>
    <w:rsid w:val="004415C6"/>
    <w:rsid w:val="00441A49"/>
    <w:rsid w:val="00442383"/>
    <w:rsid w:val="00442C57"/>
    <w:rsid w:val="004440E1"/>
    <w:rsid w:val="004442D9"/>
    <w:rsid w:val="004464B3"/>
    <w:rsid w:val="00446597"/>
    <w:rsid w:val="00446EF2"/>
    <w:rsid w:val="0045017D"/>
    <w:rsid w:val="00450821"/>
    <w:rsid w:val="00451D30"/>
    <w:rsid w:val="00452D91"/>
    <w:rsid w:val="00456F11"/>
    <w:rsid w:val="0045738C"/>
    <w:rsid w:val="00457518"/>
    <w:rsid w:val="00460603"/>
    <w:rsid w:val="00460797"/>
    <w:rsid w:val="00460C14"/>
    <w:rsid w:val="00464F22"/>
    <w:rsid w:val="004654CB"/>
    <w:rsid w:val="0046739D"/>
    <w:rsid w:val="00467717"/>
    <w:rsid w:val="004734BA"/>
    <w:rsid w:val="00473CA3"/>
    <w:rsid w:val="00480D33"/>
    <w:rsid w:val="00481112"/>
    <w:rsid w:val="00482519"/>
    <w:rsid w:val="00482BDA"/>
    <w:rsid w:val="004840C8"/>
    <w:rsid w:val="004842B1"/>
    <w:rsid w:val="004923A1"/>
    <w:rsid w:val="004927DB"/>
    <w:rsid w:val="00497F9D"/>
    <w:rsid w:val="004A14DD"/>
    <w:rsid w:val="004A167D"/>
    <w:rsid w:val="004A35BF"/>
    <w:rsid w:val="004A6373"/>
    <w:rsid w:val="004A737A"/>
    <w:rsid w:val="004A7D1F"/>
    <w:rsid w:val="004B1A35"/>
    <w:rsid w:val="004B1C17"/>
    <w:rsid w:val="004B3DE8"/>
    <w:rsid w:val="004B50FC"/>
    <w:rsid w:val="004B527F"/>
    <w:rsid w:val="004B6422"/>
    <w:rsid w:val="004B6D15"/>
    <w:rsid w:val="004C09B6"/>
    <w:rsid w:val="004C0D19"/>
    <w:rsid w:val="004C32A1"/>
    <w:rsid w:val="004C51F4"/>
    <w:rsid w:val="004C5EDB"/>
    <w:rsid w:val="004C6B65"/>
    <w:rsid w:val="004D4CFE"/>
    <w:rsid w:val="004E441A"/>
    <w:rsid w:val="004E5894"/>
    <w:rsid w:val="004E6D12"/>
    <w:rsid w:val="004F2BAC"/>
    <w:rsid w:val="004F3C4A"/>
    <w:rsid w:val="004F4060"/>
    <w:rsid w:val="004F6C82"/>
    <w:rsid w:val="005002A4"/>
    <w:rsid w:val="00500C51"/>
    <w:rsid w:val="0050407B"/>
    <w:rsid w:val="00504F38"/>
    <w:rsid w:val="00505FBC"/>
    <w:rsid w:val="00506A44"/>
    <w:rsid w:val="005106F4"/>
    <w:rsid w:val="005111F9"/>
    <w:rsid w:val="005114B0"/>
    <w:rsid w:val="00513FB2"/>
    <w:rsid w:val="00515BF0"/>
    <w:rsid w:val="00516806"/>
    <w:rsid w:val="00516DA5"/>
    <w:rsid w:val="00517DA2"/>
    <w:rsid w:val="00522F00"/>
    <w:rsid w:val="005269D7"/>
    <w:rsid w:val="00527037"/>
    <w:rsid w:val="00530E18"/>
    <w:rsid w:val="00534F6D"/>
    <w:rsid w:val="0054095F"/>
    <w:rsid w:val="00541A18"/>
    <w:rsid w:val="00541E3A"/>
    <w:rsid w:val="00541FFC"/>
    <w:rsid w:val="00543D44"/>
    <w:rsid w:val="005442C1"/>
    <w:rsid w:val="00546901"/>
    <w:rsid w:val="005478A3"/>
    <w:rsid w:val="00551D98"/>
    <w:rsid w:val="005522FE"/>
    <w:rsid w:val="00552DA7"/>
    <w:rsid w:val="00553C86"/>
    <w:rsid w:val="0055615F"/>
    <w:rsid w:val="00557ED7"/>
    <w:rsid w:val="005602F4"/>
    <w:rsid w:val="005610BD"/>
    <w:rsid w:val="005614F9"/>
    <w:rsid w:val="00561C46"/>
    <w:rsid w:val="0056294E"/>
    <w:rsid w:val="00562D8A"/>
    <w:rsid w:val="005661EC"/>
    <w:rsid w:val="00572303"/>
    <w:rsid w:val="005746F0"/>
    <w:rsid w:val="0057595C"/>
    <w:rsid w:val="00575D37"/>
    <w:rsid w:val="00576E22"/>
    <w:rsid w:val="0058048A"/>
    <w:rsid w:val="005815BD"/>
    <w:rsid w:val="00582981"/>
    <w:rsid w:val="00582AD2"/>
    <w:rsid w:val="00582DF3"/>
    <w:rsid w:val="0058413E"/>
    <w:rsid w:val="005913EC"/>
    <w:rsid w:val="005934E9"/>
    <w:rsid w:val="00594D32"/>
    <w:rsid w:val="00594EB3"/>
    <w:rsid w:val="005A2491"/>
    <w:rsid w:val="005A3E0F"/>
    <w:rsid w:val="005A5169"/>
    <w:rsid w:val="005A79D3"/>
    <w:rsid w:val="005B0D71"/>
    <w:rsid w:val="005B2587"/>
    <w:rsid w:val="005C042F"/>
    <w:rsid w:val="005C0569"/>
    <w:rsid w:val="005C2D78"/>
    <w:rsid w:val="005C2E06"/>
    <w:rsid w:val="005C3C52"/>
    <w:rsid w:val="005C5AD5"/>
    <w:rsid w:val="005D05DD"/>
    <w:rsid w:val="005D1C33"/>
    <w:rsid w:val="005D3065"/>
    <w:rsid w:val="005D5D42"/>
    <w:rsid w:val="005E0A75"/>
    <w:rsid w:val="005E31F3"/>
    <w:rsid w:val="005E500B"/>
    <w:rsid w:val="005E5E02"/>
    <w:rsid w:val="005F0AF1"/>
    <w:rsid w:val="005F5BDF"/>
    <w:rsid w:val="006025DB"/>
    <w:rsid w:val="00602C5E"/>
    <w:rsid w:val="00607879"/>
    <w:rsid w:val="00611555"/>
    <w:rsid w:val="006122A2"/>
    <w:rsid w:val="006128CA"/>
    <w:rsid w:val="00614D2A"/>
    <w:rsid w:val="00615B7D"/>
    <w:rsid w:val="00616A42"/>
    <w:rsid w:val="006220A8"/>
    <w:rsid w:val="00622607"/>
    <w:rsid w:val="0062287A"/>
    <w:rsid w:val="00622C62"/>
    <w:rsid w:val="00624170"/>
    <w:rsid w:val="00624DCB"/>
    <w:rsid w:val="00630C7A"/>
    <w:rsid w:val="00632E56"/>
    <w:rsid w:val="0063358A"/>
    <w:rsid w:val="00633C69"/>
    <w:rsid w:val="00634FA1"/>
    <w:rsid w:val="006354CF"/>
    <w:rsid w:val="006368EA"/>
    <w:rsid w:val="00637BAF"/>
    <w:rsid w:val="006400D3"/>
    <w:rsid w:val="00646FD7"/>
    <w:rsid w:val="00647847"/>
    <w:rsid w:val="00651676"/>
    <w:rsid w:val="00651B78"/>
    <w:rsid w:val="00652B99"/>
    <w:rsid w:val="006554AC"/>
    <w:rsid w:val="00655DAD"/>
    <w:rsid w:val="00657135"/>
    <w:rsid w:val="00657D36"/>
    <w:rsid w:val="00663340"/>
    <w:rsid w:val="0066398D"/>
    <w:rsid w:val="00666160"/>
    <w:rsid w:val="00666749"/>
    <w:rsid w:val="00667F1E"/>
    <w:rsid w:val="006714AD"/>
    <w:rsid w:val="0067218C"/>
    <w:rsid w:val="00673A36"/>
    <w:rsid w:val="00674242"/>
    <w:rsid w:val="0067484F"/>
    <w:rsid w:val="00680CB3"/>
    <w:rsid w:val="00684F4D"/>
    <w:rsid w:val="00685AD1"/>
    <w:rsid w:val="00686044"/>
    <w:rsid w:val="006927FF"/>
    <w:rsid w:val="0069478A"/>
    <w:rsid w:val="00694CCD"/>
    <w:rsid w:val="0069569A"/>
    <w:rsid w:val="00695786"/>
    <w:rsid w:val="00697489"/>
    <w:rsid w:val="006975B6"/>
    <w:rsid w:val="006A03E0"/>
    <w:rsid w:val="006A405C"/>
    <w:rsid w:val="006A476B"/>
    <w:rsid w:val="006A55DD"/>
    <w:rsid w:val="006A5848"/>
    <w:rsid w:val="006A75F2"/>
    <w:rsid w:val="006B31D2"/>
    <w:rsid w:val="006B3D74"/>
    <w:rsid w:val="006B47CA"/>
    <w:rsid w:val="006C2F89"/>
    <w:rsid w:val="006C3173"/>
    <w:rsid w:val="006C409A"/>
    <w:rsid w:val="006C61DC"/>
    <w:rsid w:val="006C7571"/>
    <w:rsid w:val="006D0745"/>
    <w:rsid w:val="006D39BE"/>
    <w:rsid w:val="006E074A"/>
    <w:rsid w:val="006E402E"/>
    <w:rsid w:val="006E5F99"/>
    <w:rsid w:val="006E7391"/>
    <w:rsid w:val="006F0F44"/>
    <w:rsid w:val="006F3B92"/>
    <w:rsid w:val="006F5599"/>
    <w:rsid w:val="006F5F2D"/>
    <w:rsid w:val="006F618D"/>
    <w:rsid w:val="006F6C57"/>
    <w:rsid w:val="00702BD5"/>
    <w:rsid w:val="007102F0"/>
    <w:rsid w:val="00711F3E"/>
    <w:rsid w:val="0071568F"/>
    <w:rsid w:val="00717610"/>
    <w:rsid w:val="00722463"/>
    <w:rsid w:val="00722DDB"/>
    <w:rsid w:val="00723EE4"/>
    <w:rsid w:val="007246E0"/>
    <w:rsid w:val="00725E8E"/>
    <w:rsid w:val="00726685"/>
    <w:rsid w:val="00734ADD"/>
    <w:rsid w:val="00735208"/>
    <w:rsid w:val="007404D9"/>
    <w:rsid w:val="00740E87"/>
    <w:rsid w:val="007410D0"/>
    <w:rsid w:val="0074149B"/>
    <w:rsid w:val="00743C5E"/>
    <w:rsid w:val="00743E3F"/>
    <w:rsid w:val="00743F51"/>
    <w:rsid w:val="00744994"/>
    <w:rsid w:val="00745251"/>
    <w:rsid w:val="00746B5A"/>
    <w:rsid w:val="00751406"/>
    <w:rsid w:val="00756021"/>
    <w:rsid w:val="0075764C"/>
    <w:rsid w:val="0076727D"/>
    <w:rsid w:val="007726D0"/>
    <w:rsid w:val="007750A1"/>
    <w:rsid w:val="00775916"/>
    <w:rsid w:val="00775EF1"/>
    <w:rsid w:val="00776563"/>
    <w:rsid w:val="00777622"/>
    <w:rsid w:val="00781A54"/>
    <w:rsid w:val="007831FF"/>
    <w:rsid w:val="0078541A"/>
    <w:rsid w:val="00791AB3"/>
    <w:rsid w:val="00793300"/>
    <w:rsid w:val="0079404D"/>
    <w:rsid w:val="00794219"/>
    <w:rsid w:val="0079580F"/>
    <w:rsid w:val="0079645D"/>
    <w:rsid w:val="00796935"/>
    <w:rsid w:val="00797C49"/>
    <w:rsid w:val="007A0A48"/>
    <w:rsid w:val="007A4063"/>
    <w:rsid w:val="007A45E7"/>
    <w:rsid w:val="007B23FF"/>
    <w:rsid w:val="007B46C2"/>
    <w:rsid w:val="007B64E8"/>
    <w:rsid w:val="007C214B"/>
    <w:rsid w:val="007C281B"/>
    <w:rsid w:val="007C50E2"/>
    <w:rsid w:val="007C70F6"/>
    <w:rsid w:val="007D1520"/>
    <w:rsid w:val="007D1822"/>
    <w:rsid w:val="007D3F63"/>
    <w:rsid w:val="007D67AE"/>
    <w:rsid w:val="007D7500"/>
    <w:rsid w:val="007E3066"/>
    <w:rsid w:val="007E5912"/>
    <w:rsid w:val="007E5E95"/>
    <w:rsid w:val="007E7CB4"/>
    <w:rsid w:val="007F0E72"/>
    <w:rsid w:val="007F4092"/>
    <w:rsid w:val="007F645B"/>
    <w:rsid w:val="00805EC4"/>
    <w:rsid w:val="008220E9"/>
    <w:rsid w:val="00823B28"/>
    <w:rsid w:val="00824FFD"/>
    <w:rsid w:val="00826C27"/>
    <w:rsid w:val="0083040B"/>
    <w:rsid w:val="00832031"/>
    <w:rsid w:val="00833131"/>
    <w:rsid w:val="00833136"/>
    <w:rsid w:val="00835969"/>
    <w:rsid w:val="00837916"/>
    <w:rsid w:val="00837BAB"/>
    <w:rsid w:val="00840B8A"/>
    <w:rsid w:val="0084100D"/>
    <w:rsid w:val="00841F16"/>
    <w:rsid w:val="00846866"/>
    <w:rsid w:val="008508F8"/>
    <w:rsid w:val="008516AA"/>
    <w:rsid w:val="00851C16"/>
    <w:rsid w:val="00852CA0"/>
    <w:rsid w:val="00853A36"/>
    <w:rsid w:val="008579E3"/>
    <w:rsid w:val="00865901"/>
    <w:rsid w:val="00866415"/>
    <w:rsid w:val="00866AD3"/>
    <w:rsid w:val="00875F27"/>
    <w:rsid w:val="00880182"/>
    <w:rsid w:val="00880A75"/>
    <w:rsid w:val="00881457"/>
    <w:rsid w:val="00882706"/>
    <w:rsid w:val="00882BDD"/>
    <w:rsid w:val="0088351D"/>
    <w:rsid w:val="00885778"/>
    <w:rsid w:val="00885F3E"/>
    <w:rsid w:val="00886792"/>
    <w:rsid w:val="00892D00"/>
    <w:rsid w:val="00893321"/>
    <w:rsid w:val="00893EEC"/>
    <w:rsid w:val="00896879"/>
    <w:rsid w:val="008A2B68"/>
    <w:rsid w:val="008B0786"/>
    <w:rsid w:val="008B091E"/>
    <w:rsid w:val="008B0C85"/>
    <w:rsid w:val="008B3B17"/>
    <w:rsid w:val="008B4F60"/>
    <w:rsid w:val="008B5F70"/>
    <w:rsid w:val="008B6441"/>
    <w:rsid w:val="008B6C9A"/>
    <w:rsid w:val="008B7307"/>
    <w:rsid w:val="008C183A"/>
    <w:rsid w:val="008C208E"/>
    <w:rsid w:val="008C2A75"/>
    <w:rsid w:val="008C2DB6"/>
    <w:rsid w:val="008C30A8"/>
    <w:rsid w:val="008C32DE"/>
    <w:rsid w:val="008D1B7C"/>
    <w:rsid w:val="008D3602"/>
    <w:rsid w:val="008D5C3E"/>
    <w:rsid w:val="008E0350"/>
    <w:rsid w:val="008E03AE"/>
    <w:rsid w:val="008E5D75"/>
    <w:rsid w:val="008E5FC0"/>
    <w:rsid w:val="008E683E"/>
    <w:rsid w:val="008E7AE2"/>
    <w:rsid w:val="008E7EED"/>
    <w:rsid w:val="008F0A41"/>
    <w:rsid w:val="008F24A9"/>
    <w:rsid w:val="00900229"/>
    <w:rsid w:val="009033DE"/>
    <w:rsid w:val="00903788"/>
    <w:rsid w:val="00905D80"/>
    <w:rsid w:val="00913BD5"/>
    <w:rsid w:val="009156B8"/>
    <w:rsid w:val="009174BC"/>
    <w:rsid w:val="009219AB"/>
    <w:rsid w:val="00924260"/>
    <w:rsid w:val="009248C2"/>
    <w:rsid w:val="009262C6"/>
    <w:rsid w:val="00931BE4"/>
    <w:rsid w:val="00937981"/>
    <w:rsid w:val="00940B01"/>
    <w:rsid w:val="009416D7"/>
    <w:rsid w:val="00944E87"/>
    <w:rsid w:val="00947653"/>
    <w:rsid w:val="00950570"/>
    <w:rsid w:val="00955FD9"/>
    <w:rsid w:val="00960F6E"/>
    <w:rsid w:val="0096271F"/>
    <w:rsid w:val="00965E6D"/>
    <w:rsid w:val="00966867"/>
    <w:rsid w:val="00973905"/>
    <w:rsid w:val="00973E93"/>
    <w:rsid w:val="009744CA"/>
    <w:rsid w:val="00975636"/>
    <w:rsid w:val="00976653"/>
    <w:rsid w:val="0097758C"/>
    <w:rsid w:val="0098074F"/>
    <w:rsid w:val="00981BA4"/>
    <w:rsid w:val="009848C4"/>
    <w:rsid w:val="0099281D"/>
    <w:rsid w:val="0099599E"/>
    <w:rsid w:val="0099623E"/>
    <w:rsid w:val="009A1F64"/>
    <w:rsid w:val="009A6D85"/>
    <w:rsid w:val="009B2801"/>
    <w:rsid w:val="009B32D6"/>
    <w:rsid w:val="009B3A5D"/>
    <w:rsid w:val="009B4097"/>
    <w:rsid w:val="009B6EB1"/>
    <w:rsid w:val="009C2784"/>
    <w:rsid w:val="009C44F8"/>
    <w:rsid w:val="009C4787"/>
    <w:rsid w:val="009C587C"/>
    <w:rsid w:val="009D0A6B"/>
    <w:rsid w:val="009D0B49"/>
    <w:rsid w:val="009D2A3E"/>
    <w:rsid w:val="009D2D1A"/>
    <w:rsid w:val="009E2D1C"/>
    <w:rsid w:val="009E2D3B"/>
    <w:rsid w:val="009E3E61"/>
    <w:rsid w:val="009E49FC"/>
    <w:rsid w:val="009E4B52"/>
    <w:rsid w:val="009E692D"/>
    <w:rsid w:val="009E6AE9"/>
    <w:rsid w:val="009F517A"/>
    <w:rsid w:val="009F5E26"/>
    <w:rsid w:val="00A001C3"/>
    <w:rsid w:val="00A0447E"/>
    <w:rsid w:val="00A11D6D"/>
    <w:rsid w:val="00A13432"/>
    <w:rsid w:val="00A16CB9"/>
    <w:rsid w:val="00A16ED2"/>
    <w:rsid w:val="00A2019B"/>
    <w:rsid w:val="00A2342C"/>
    <w:rsid w:val="00A2536E"/>
    <w:rsid w:val="00A30683"/>
    <w:rsid w:val="00A3219C"/>
    <w:rsid w:val="00A32FD3"/>
    <w:rsid w:val="00A33974"/>
    <w:rsid w:val="00A33C33"/>
    <w:rsid w:val="00A34091"/>
    <w:rsid w:val="00A35972"/>
    <w:rsid w:val="00A36FB4"/>
    <w:rsid w:val="00A409E3"/>
    <w:rsid w:val="00A40BFF"/>
    <w:rsid w:val="00A41302"/>
    <w:rsid w:val="00A437CC"/>
    <w:rsid w:val="00A47D66"/>
    <w:rsid w:val="00A52395"/>
    <w:rsid w:val="00A52488"/>
    <w:rsid w:val="00A532EF"/>
    <w:rsid w:val="00A57A6A"/>
    <w:rsid w:val="00A647C1"/>
    <w:rsid w:val="00A64946"/>
    <w:rsid w:val="00A64C99"/>
    <w:rsid w:val="00A702AC"/>
    <w:rsid w:val="00A734AC"/>
    <w:rsid w:val="00A754CF"/>
    <w:rsid w:val="00A755EA"/>
    <w:rsid w:val="00A76817"/>
    <w:rsid w:val="00A81B13"/>
    <w:rsid w:val="00A853C0"/>
    <w:rsid w:val="00A85541"/>
    <w:rsid w:val="00A8599E"/>
    <w:rsid w:val="00A85D06"/>
    <w:rsid w:val="00A87E77"/>
    <w:rsid w:val="00A9161F"/>
    <w:rsid w:val="00A9222A"/>
    <w:rsid w:val="00A94AB6"/>
    <w:rsid w:val="00A9576E"/>
    <w:rsid w:val="00AA036E"/>
    <w:rsid w:val="00AA1FA0"/>
    <w:rsid w:val="00AA358E"/>
    <w:rsid w:val="00AA5B29"/>
    <w:rsid w:val="00AA5BE4"/>
    <w:rsid w:val="00AA70C3"/>
    <w:rsid w:val="00AA7675"/>
    <w:rsid w:val="00AA79EC"/>
    <w:rsid w:val="00AA7FCD"/>
    <w:rsid w:val="00AB0221"/>
    <w:rsid w:val="00AB31C5"/>
    <w:rsid w:val="00AB321B"/>
    <w:rsid w:val="00AB4B11"/>
    <w:rsid w:val="00AC00FB"/>
    <w:rsid w:val="00AC235E"/>
    <w:rsid w:val="00AC24EC"/>
    <w:rsid w:val="00AC2792"/>
    <w:rsid w:val="00AC39E0"/>
    <w:rsid w:val="00AC3ECC"/>
    <w:rsid w:val="00AC6D99"/>
    <w:rsid w:val="00AD139B"/>
    <w:rsid w:val="00AD223C"/>
    <w:rsid w:val="00AD3BF2"/>
    <w:rsid w:val="00AD7AF4"/>
    <w:rsid w:val="00AD7CF4"/>
    <w:rsid w:val="00AE1D7B"/>
    <w:rsid w:val="00AE245B"/>
    <w:rsid w:val="00AE6169"/>
    <w:rsid w:val="00AE72E9"/>
    <w:rsid w:val="00AE7E40"/>
    <w:rsid w:val="00AF385A"/>
    <w:rsid w:val="00AF3BBD"/>
    <w:rsid w:val="00AF3BD0"/>
    <w:rsid w:val="00AF6A81"/>
    <w:rsid w:val="00AF7C3B"/>
    <w:rsid w:val="00B02B8E"/>
    <w:rsid w:val="00B07855"/>
    <w:rsid w:val="00B10735"/>
    <w:rsid w:val="00B109A7"/>
    <w:rsid w:val="00B16D8F"/>
    <w:rsid w:val="00B17270"/>
    <w:rsid w:val="00B17836"/>
    <w:rsid w:val="00B20AF0"/>
    <w:rsid w:val="00B20C0B"/>
    <w:rsid w:val="00B214D2"/>
    <w:rsid w:val="00B22FD2"/>
    <w:rsid w:val="00B24ED2"/>
    <w:rsid w:val="00B31FEC"/>
    <w:rsid w:val="00B32AC9"/>
    <w:rsid w:val="00B34C80"/>
    <w:rsid w:val="00B35D85"/>
    <w:rsid w:val="00B3603E"/>
    <w:rsid w:val="00B4030C"/>
    <w:rsid w:val="00B45345"/>
    <w:rsid w:val="00B504EC"/>
    <w:rsid w:val="00B5148D"/>
    <w:rsid w:val="00B52767"/>
    <w:rsid w:val="00B52D1D"/>
    <w:rsid w:val="00B5410E"/>
    <w:rsid w:val="00B5697A"/>
    <w:rsid w:val="00B649D5"/>
    <w:rsid w:val="00B64BE3"/>
    <w:rsid w:val="00B71201"/>
    <w:rsid w:val="00B72E31"/>
    <w:rsid w:val="00B73FD2"/>
    <w:rsid w:val="00B76343"/>
    <w:rsid w:val="00B82B7E"/>
    <w:rsid w:val="00B833B0"/>
    <w:rsid w:val="00B8367E"/>
    <w:rsid w:val="00B849A2"/>
    <w:rsid w:val="00B8578D"/>
    <w:rsid w:val="00B87B65"/>
    <w:rsid w:val="00B87F57"/>
    <w:rsid w:val="00B92524"/>
    <w:rsid w:val="00B9547E"/>
    <w:rsid w:val="00B954AC"/>
    <w:rsid w:val="00B96744"/>
    <w:rsid w:val="00BA6DC6"/>
    <w:rsid w:val="00BA7ABA"/>
    <w:rsid w:val="00BB0B47"/>
    <w:rsid w:val="00BB14E3"/>
    <w:rsid w:val="00BB2A4E"/>
    <w:rsid w:val="00BB2B97"/>
    <w:rsid w:val="00BB62E6"/>
    <w:rsid w:val="00BB6407"/>
    <w:rsid w:val="00BB6454"/>
    <w:rsid w:val="00BB79FB"/>
    <w:rsid w:val="00BC1473"/>
    <w:rsid w:val="00BC1541"/>
    <w:rsid w:val="00BC22CD"/>
    <w:rsid w:val="00BC3E9A"/>
    <w:rsid w:val="00BC4911"/>
    <w:rsid w:val="00BC4E9F"/>
    <w:rsid w:val="00BC5025"/>
    <w:rsid w:val="00BC7CA6"/>
    <w:rsid w:val="00BD199A"/>
    <w:rsid w:val="00BD287E"/>
    <w:rsid w:val="00BD2998"/>
    <w:rsid w:val="00BD6743"/>
    <w:rsid w:val="00BD6A65"/>
    <w:rsid w:val="00BE0042"/>
    <w:rsid w:val="00BE12ED"/>
    <w:rsid w:val="00BE1AC0"/>
    <w:rsid w:val="00BE3651"/>
    <w:rsid w:val="00BE7309"/>
    <w:rsid w:val="00BE766D"/>
    <w:rsid w:val="00BF14A8"/>
    <w:rsid w:val="00BF3073"/>
    <w:rsid w:val="00BF315B"/>
    <w:rsid w:val="00C008C7"/>
    <w:rsid w:val="00C03217"/>
    <w:rsid w:val="00C057C2"/>
    <w:rsid w:val="00C115E4"/>
    <w:rsid w:val="00C117FE"/>
    <w:rsid w:val="00C171AB"/>
    <w:rsid w:val="00C17E12"/>
    <w:rsid w:val="00C20420"/>
    <w:rsid w:val="00C21205"/>
    <w:rsid w:val="00C244A2"/>
    <w:rsid w:val="00C27F43"/>
    <w:rsid w:val="00C313EB"/>
    <w:rsid w:val="00C3298E"/>
    <w:rsid w:val="00C33CEF"/>
    <w:rsid w:val="00C41B4F"/>
    <w:rsid w:val="00C433CC"/>
    <w:rsid w:val="00C4510A"/>
    <w:rsid w:val="00C4777E"/>
    <w:rsid w:val="00C50439"/>
    <w:rsid w:val="00C51655"/>
    <w:rsid w:val="00C532DE"/>
    <w:rsid w:val="00C60F1D"/>
    <w:rsid w:val="00C61BCE"/>
    <w:rsid w:val="00C62E1F"/>
    <w:rsid w:val="00C65788"/>
    <w:rsid w:val="00C67F7E"/>
    <w:rsid w:val="00C75511"/>
    <w:rsid w:val="00C8166C"/>
    <w:rsid w:val="00C825A4"/>
    <w:rsid w:val="00C82F19"/>
    <w:rsid w:val="00C844AA"/>
    <w:rsid w:val="00C87DBC"/>
    <w:rsid w:val="00C95CA0"/>
    <w:rsid w:val="00CA1433"/>
    <w:rsid w:val="00CA6511"/>
    <w:rsid w:val="00CB0554"/>
    <w:rsid w:val="00CB06EF"/>
    <w:rsid w:val="00CB2616"/>
    <w:rsid w:val="00CB3E00"/>
    <w:rsid w:val="00CB581D"/>
    <w:rsid w:val="00CB79B4"/>
    <w:rsid w:val="00CC55E1"/>
    <w:rsid w:val="00CC5B28"/>
    <w:rsid w:val="00CC6C6A"/>
    <w:rsid w:val="00CC7D7B"/>
    <w:rsid w:val="00CD046B"/>
    <w:rsid w:val="00CD061C"/>
    <w:rsid w:val="00CD1A99"/>
    <w:rsid w:val="00CD3056"/>
    <w:rsid w:val="00CD5192"/>
    <w:rsid w:val="00CD6D78"/>
    <w:rsid w:val="00CD6F5A"/>
    <w:rsid w:val="00CD7F38"/>
    <w:rsid w:val="00CE0EF0"/>
    <w:rsid w:val="00CE47B5"/>
    <w:rsid w:val="00CE6C77"/>
    <w:rsid w:val="00CE7F1D"/>
    <w:rsid w:val="00CF0804"/>
    <w:rsid w:val="00CF454A"/>
    <w:rsid w:val="00CF4B9B"/>
    <w:rsid w:val="00CF53C9"/>
    <w:rsid w:val="00CF5C9A"/>
    <w:rsid w:val="00CF7FD9"/>
    <w:rsid w:val="00D022C0"/>
    <w:rsid w:val="00D02916"/>
    <w:rsid w:val="00D04A8F"/>
    <w:rsid w:val="00D062B3"/>
    <w:rsid w:val="00D1071E"/>
    <w:rsid w:val="00D121EC"/>
    <w:rsid w:val="00D135B0"/>
    <w:rsid w:val="00D1605F"/>
    <w:rsid w:val="00D21C60"/>
    <w:rsid w:val="00D21DB6"/>
    <w:rsid w:val="00D229D5"/>
    <w:rsid w:val="00D2396B"/>
    <w:rsid w:val="00D248FF"/>
    <w:rsid w:val="00D2686C"/>
    <w:rsid w:val="00D314D7"/>
    <w:rsid w:val="00D31B6A"/>
    <w:rsid w:val="00D31BDF"/>
    <w:rsid w:val="00D321D2"/>
    <w:rsid w:val="00D330ED"/>
    <w:rsid w:val="00D34B38"/>
    <w:rsid w:val="00D34C91"/>
    <w:rsid w:val="00D37939"/>
    <w:rsid w:val="00D44914"/>
    <w:rsid w:val="00D4583E"/>
    <w:rsid w:val="00D474AF"/>
    <w:rsid w:val="00D50EC2"/>
    <w:rsid w:val="00D52A3A"/>
    <w:rsid w:val="00D57A7C"/>
    <w:rsid w:val="00D60FBD"/>
    <w:rsid w:val="00D6201B"/>
    <w:rsid w:val="00D73795"/>
    <w:rsid w:val="00D74706"/>
    <w:rsid w:val="00D74BD9"/>
    <w:rsid w:val="00D74E6E"/>
    <w:rsid w:val="00D75581"/>
    <w:rsid w:val="00D75AB5"/>
    <w:rsid w:val="00D75C9A"/>
    <w:rsid w:val="00D8028F"/>
    <w:rsid w:val="00D80DD7"/>
    <w:rsid w:val="00D81017"/>
    <w:rsid w:val="00D84212"/>
    <w:rsid w:val="00D847BD"/>
    <w:rsid w:val="00D87C51"/>
    <w:rsid w:val="00D87CD4"/>
    <w:rsid w:val="00D92EEA"/>
    <w:rsid w:val="00D92F86"/>
    <w:rsid w:val="00D94427"/>
    <w:rsid w:val="00D94B93"/>
    <w:rsid w:val="00D9625B"/>
    <w:rsid w:val="00D975B7"/>
    <w:rsid w:val="00DA0225"/>
    <w:rsid w:val="00DA1F17"/>
    <w:rsid w:val="00DA25E5"/>
    <w:rsid w:val="00DA2DF2"/>
    <w:rsid w:val="00DA34F4"/>
    <w:rsid w:val="00DA4DCA"/>
    <w:rsid w:val="00DB60A7"/>
    <w:rsid w:val="00DB6F8D"/>
    <w:rsid w:val="00DB7394"/>
    <w:rsid w:val="00DC1A87"/>
    <w:rsid w:val="00DC21ED"/>
    <w:rsid w:val="00DC682C"/>
    <w:rsid w:val="00DD2EDE"/>
    <w:rsid w:val="00DD34CC"/>
    <w:rsid w:val="00DD3F53"/>
    <w:rsid w:val="00DD5F48"/>
    <w:rsid w:val="00DD7EAC"/>
    <w:rsid w:val="00DE2EAF"/>
    <w:rsid w:val="00DE4300"/>
    <w:rsid w:val="00DE57ED"/>
    <w:rsid w:val="00DE6B32"/>
    <w:rsid w:val="00DE7DF5"/>
    <w:rsid w:val="00DF3A6E"/>
    <w:rsid w:val="00DF49D6"/>
    <w:rsid w:val="00DF5594"/>
    <w:rsid w:val="00E03F3C"/>
    <w:rsid w:val="00E0496B"/>
    <w:rsid w:val="00E052A9"/>
    <w:rsid w:val="00E05523"/>
    <w:rsid w:val="00E141EF"/>
    <w:rsid w:val="00E14355"/>
    <w:rsid w:val="00E154D1"/>
    <w:rsid w:val="00E24DA5"/>
    <w:rsid w:val="00E36E88"/>
    <w:rsid w:val="00E41F98"/>
    <w:rsid w:val="00E42401"/>
    <w:rsid w:val="00E45BD9"/>
    <w:rsid w:val="00E475EE"/>
    <w:rsid w:val="00E47801"/>
    <w:rsid w:val="00E47F9F"/>
    <w:rsid w:val="00E502B9"/>
    <w:rsid w:val="00E512A5"/>
    <w:rsid w:val="00E51418"/>
    <w:rsid w:val="00E52AD2"/>
    <w:rsid w:val="00E538B5"/>
    <w:rsid w:val="00E55958"/>
    <w:rsid w:val="00E57C44"/>
    <w:rsid w:val="00E60B00"/>
    <w:rsid w:val="00E60B28"/>
    <w:rsid w:val="00E6116F"/>
    <w:rsid w:val="00E62D73"/>
    <w:rsid w:val="00E632C0"/>
    <w:rsid w:val="00E63B30"/>
    <w:rsid w:val="00E652B0"/>
    <w:rsid w:val="00E67F0C"/>
    <w:rsid w:val="00E76942"/>
    <w:rsid w:val="00E827DF"/>
    <w:rsid w:val="00E83449"/>
    <w:rsid w:val="00E83EDE"/>
    <w:rsid w:val="00E84A43"/>
    <w:rsid w:val="00E8549B"/>
    <w:rsid w:val="00E85CD7"/>
    <w:rsid w:val="00E85E8A"/>
    <w:rsid w:val="00E87A97"/>
    <w:rsid w:val="00E90FE5"/>
    <w:rsid w:val="00E935D8"/>
    <w:rsid w:val="00E9589C"/>
    <w:rsid w:val="00EA19D9"/>
    <w:rsid w:val="00EA1EFD"/>
    <w:rsid w:val="00EA253E"/>
    <w:rsid w:val="00EA3961"/>
    <w:rsid w:val="00EA43BD"/>
    <w:rsid w:val="00EA440B"/>
    <w:rsid w:val="00EA4FB2"/>
    <w:rsid w:val="00EB1D59"/>
    <w:rsid w:val="00EB4343"/>
    <w:rsid w:val="00EB774F"/>
    <w:rsid w:val="00EC09FF"/>
    <w:rsid w:val="00EC48DA"/>
    <w:rsid w:val="00EC5B53"/>
    <w:rsid w:val="00EC6AA0"/>
    <w:rsid w:val="00ED021B"/>
    <w:rsid w:val="00ED3122"/>
    <w:rsid w:val="00ED3190"/>
    <w:rsid w:val="00ED3B03"/>
    <w:rsid w:val="00ED6842"/>
    <w:rsid w:val="00EE4CDF"/>
    <w:rsid w:val="00EE5C96"/>
    <w:rsid w:val="00EE5D14"/>
    <w:rsid w:val="00EE6116"/>
    <w:rsid w:val="00EF0D98"/>
    <w:rsid w:val="00EF1FCD"/>
    <w:rsid w:val="00EF2A64"/>
    <w:rsid w:val="00EF4776"/>
    <w:rsid w:val="00EF47B0"/>
    <w:rsid w:val="00EF71E6"/>
    <w:rsid w:val="00F01F1B"/>
    <w:rsid w:val="00F02FB8"/>
    <w:rsid w:val="00F03473"/>
    <w:rsid w:val="00F066AD"/>
    <w:rsid w:val="00F10162"/>
    <w:rsid w:val="00F10BB5"/>
    <w:rsid w:val="00F12DC0"/>
    <w:rsid w:val="00F1478A"/>
    <w:rsid w:val="00F17C8F"/>
    <w:rsid w:val="00F21CB5"/>
    <w:rsid w:val="00F22DA0"/>
    <w:rsid w:val="00F22E3F"/>
    <w:rsid w:val="00F24884"/>
    <w:rsid w:val="00F267F6"/>
    <w:rsid w:val="00F27923"/>
    <w:rsid w:val="00F31132"/>
    <w:rsid w:val="00F32083"/>
    <w:rsid w:val="00F33E7D"/>
    <w:rsid w:val="00F40F54"/>
    <w:rsid w:val="00F415B6"/>
    <w:rsid w:val="00F44FAA"/>
    <w:rsid w:val="00F45625"/>
    <w:rsid w:val="00F45CF3"/>
    <w:rsid w:val="00F46260"/>
    <w:rsid w:val="00F479EB"/>
    <w:rsid w:val="00F511BC"/>
    <w:rsid w:val="00F53C6D"/>
    <w:rsid w:val="00F579A2"/>
    <w:rsid w:val="00F57FF6"/>
    <w:rsid w:val="00F62C49"/>
    <w:rsid w:val="00F63FFE"/>
    <w:rsid w:val="00F65D2B"/>
    <w:rsid w:val="00F6644A"/>
    <w:rsid w:val="00F71806"/>
    <w:rsid w:val="00F730A4"/>
    <w:rsid w:val="00F752ED"/>
    <w:rsid w:val="00F75900"/>
    <w:rsid w:val="00F75B15"/>
    <w:rsid w:val="00F760BC"/>
    <w:rsid w:val="00F80426"/>
    <w:rsid w:val="00F844B7"/>
    <w:rsid w:val="00F85446"/>
    <w:rsid w:val="00F87BA6"/>
    <w:rsid w:val="00F929CA"/>
    <w:rsid w:val="00F92CAB"/>
    <w:rsid w:val="00F93AF4"/>
    <w:rsid w:val="00F94425"/>
    <w:rsid w:val="00FA32DC"/>
    <w:rsid w:val="00FA3800"/>
    <w:rsid w:val="00FA622F"/>
    <w:rsid w:val="00FB196C"/>
    <w:rsid w:val="00FB221F"/>
    <w:rsid w:val="00FB22AC"/>
    <w:rsid w:val="00FB3108"/>
    <w:rsid w:val="00FB6002"/>
    <w:rsid w:val="00FB6768"/>
    <w:rsid w:val="00FB7AAF"/>
    <w:rsid w:val="00FC4558"/>
    <w:rsid w:val="00FC52B8"/>
    <w:rsid w:val="00FC5609"/>
    <w:rsid w:val="00FC5E9D"/>
    <w:rsid w:val="00FC6942"/>
    <w:rsid w:val="00FD5A2D"/>
    <w:rsid w:val="00FD7E27"/>
    <w:rsid w:val="00FE2521"/>
    <w:rsid w:val="00FE2E8D"/>
    <w:rsid w:val="00FE3F32"/>
    <w:rsid w:val="00FE6266"/>
    <w:rsid w:val="00FE70BE"/>
    <w:rsid w:val="00FF1B44"/>
    <w:rsid w:val="00FF2263"/>
    <w:rsid w:val="00FF2B48"/>
    <w:rsid w:val="00FF4E8E"/>
    <w:rsid w:val="00FF5315"/>
    <w:rsid w:val="00FF779E"/>
    <w:rsid w:val="0106115B"/>
    <w:rsid w:val="01196C0E"/>
    <w:rsid w:val="013A2B6A"/>
    <w:rsid w:val="013F2A82"/>
    <w:rsid w:val="01421F6F"/>
    <w:rsid w:val="016270E1"/>
    <w:rsid w:val="01697A97"/>
    <w:rsid w:val="01892042"/>
    <w:rsid w:val="018D06DD"/>
    <w:rsid w:val="01903AC0"/>
    <w:rsid w:val="01D6035A"/>
    <w:rsid w:val="01DD770E"/>
    <w:rsid w:val="01DF7DB3"/>
    <w:rsid w:val="01E1472E"/>
    <w:rsid w:val="01EA1D3D"/>
    <w:rsid w:val="020E4B05"/>
    <w:rsid w:val="02110A95"/>
    <w:rsid w:val="024E7C57"/>
    <w:rsid w:val="0251477B"/>
    <w:rsid w:val="02A227A1"/>
    <w:rsid w:val="02A42368"/>
    <w:rsid w:val="02AC326D"/>
    <w:rsid w:val="02B372BF"/>
    <w:rsid w:val="02E95A04"/>
    <w:rsid w:val="03005BD5"/>
    <w:rsid w:val="03093430"/>
    <w:rsid w:val="0313539D"/>
    <w:rsid w:val="031B715B"/>
    <w:rsid w:val="034E50AE"/>
    <w:rsid w:val="037764A8"/>
    <w:rsid w:val="037E6D7C"/>
    <w:rsid w:val="03A34D06"/>
    <w:rsid w:val="03D94E14"/>
    <w:rsid w:val="03EE5BF4"/>
    <w:rsid w:val="040B3430"/>
    <w:rsid w:val="041962E8"/>
    <w:rsid w:val="043232F0"/>
    <w:rsid w:val="046D7F18"/>
    <w:rsid w:val="04714B20"/>
    <w:rsid w:val="048033EF"/>
    <w:rsid w:val="04817444"/>
    <w:rsid w:val="048F080D"/>
    <w:rsid w:val="04A47F7C"/>
    <w:rsid w:val="04B403C6"/>
    <w:rsid w:val="04B96A4C"/>
    <w:rsid w:val="04BC48BA"/>
    <w:rsid w:val="04C236DC"/>
    <w:rsid w:val="04DE678B"/>
    <w:rsid w:val="04F512B6"/>
    <w:rsid w:val="04FA12EF"/>
    <w:rsid w:val="05056ECB"/>
    <w:rsid w:val="051036DA"/>
    <w:rsid w:val="05114A78"/>
    <w:rsid w:val="05192750"/>
    <w:rsid w:val="051F1064"/>
    <w:rsid w:val="052D0F89"/>
    <w:rsid w:val="05391070"/>
    <w:rsid w:val="055A1897"/>
    <w:rsid w:val="058C5864"/>
    <w:rsid w:val="060018A7"/>
    <w:rsid w:val="060636C1"/>
    <w:rsid w:val="060B76FA"/>
    <w:rsid w:val="06270AAA"/>
    <w:rsid w:val="064E4A3A"/>
    <w:rsid w:val="0667150B"/>
    <w:rsid w:val="067067D8"/>
    <w:rsid w:val="067D06D7"/>
    <w:rsid w:val="068F7A3E"/>
    <w:rsid w:val="06A7323A"/>
    <w:rsid w:val="06EA7FE5"/>
    <w:rsid w:val="06FF461C"/>
    <w:rsid w:val="07074FB7"/>
    <w:rsid w:val="072459C8"/>
    <w:rsid w:val="07256DF8"/>
    <w:rsid w:val="0726171A"/>
    <w:rsid w:val="07283FE9"/>
    <w:rsid w:val="072C3599"/>
    <w:rsid w:val="07305265"/>
    <w:rsid w:val="07421B7F"/>
    <w:rsid w:val="0743217A"/>
    <w:rsid w:val="07514114"/>
    <w:rsid w:val="077E6EB8"/>
    <w:rsid w:val="078524EF"/>
    <w:rsid w:val="07893A73"/>
    <w:rsid w:val="078A7CC9"/>
    <w:rsid w:val="07A841AE"/>
    <w:rsid w:val="07A8673D"/>
    <w:rsid w:val="07DD4A57"/>
    <w:rsid w:val="082034D8"/>
    <w:rsid w:val="08213503"/>
    <w:rsid w:val="082E2C2D"/>
    <w:rsid w:val="083060E4"/>
    <w:rsid w:val="08467607"/>
    <w:rsid w:val="08527F90"/>
    <w:rsid w:val="08663C88"/>
    <w:rsid w:val="08A92A39"/>
    <w:rsid w:val="08AB4848"/>
    <w:rsid w:val="08D20586"/>
    <w:rsid w:val="08F533E3"/>
    <w:rsid w:val="08F86C47"/>
    <w:rsid w:val="08FC6C6B"/>
    <w:rsid w:val="08FD174E"/>
    <w:rsid w:val="09192017"/>
    <w:rsid w:val="09867BD9"/>
    <w:rsid w:val="098D51DF"/>
    <w:rsid w:val="099344E9"/>
    <w:rsid w:val="09AB1C57"/>
    <w:rsid w:val="09B42B36"/>
    <w:rsid w:val="09C67499"/>
    <w:rsid w:val="09CC1566"/>
    <w:rsid w:val="09DF4F8F"/>
    <w:rsid w:val="0A161D7A"/>
    <w:rsid w:val="0A162B6B"/>
    <w:rsid w:val="0A193322"/>
    <w:rsid w:val="0A1C565E"/>
    <w:rsid w:val="0A251D74"/>
    <w:rsid w:val="0A263D59"/>
    <w:rsid w:val="0A2D2C7D"/>
    <w:rsid w:val="0A5B0878"/>
    <w:rsid w:val="0A7A7163"/>
    <w:rsid w:val="0A8037EF"/>
    <w:rsid w:val="0A852D4F"/>
    <w:rsid w:val="0A933E14"/>
    <w:rsid w:val="0AA36CF4"/>
    <w:rsid w:val="0AAF7885"/>
    <w:rsid w:val="0ACC3102"/>
    <w:rsid w:val="0AE15667"/>
    <w:rsid w:val="0AF66640"/>
    <w:rsid w:val="0AFA2B5B"/>
    <w:rsid w:val="0B01011B"/>
    <w:rsid w:val="0B120451"/>
    <w:rsid w:val="0B225757"/>
    <w:rsid w:val="0B414901"/>
    <w:rsid w:val="0B4E7A20"/>
    <w:rsid w:val="0B700282"/>
    <w:rsid w:val="0B755EDB"/>
    <w:rsid w:val="0B7F697F"/>
    <w:rsid w:val="0B9377E9"/>
    <w:rsid w:val="0BAC4A29"/>
    <w:rsid w:val="0BAF75BD"/>
    <w:rsid w:val="0BEC491D"/>
    <w:rsid w:val="0C2D15F3"/>
    <w:rsid w:val="0C590A91"/>
    <w:rsid w:val="0C6131B7"/>
    <w:rsid w:val="0C6D20DD"/>
    <w:rsid w:val="0C6E7171"/>
    <w:rsid w:val="0CAF6AEB"/>
    <w:rsid w:val="0CB065D7"/>
    <w:rsid w:val="0CE77D45"/>
    <w:rsid w:val="0CE84152"/>
    <w:rsid w:val="0D164E96"/>
    <w:rsid w:val="0D354F54"/>
    <w:rsid w:val="0D3C41EB"/>
    <w:rsid w:val="0D3F6311"/>
    <w:rsid w:val="0D67482B"/>
    <w:rsid w:val="0D8466FE"/>
    <w:rsid w:val="0D8E0749"/>
    <w:rsid w:val="0DD4087A"/>
    <w:rsid w:val="0DE71677"/>
    <w:rsid w:val="0DF778D9"/>
    <w:rsid w:val="0E1F69FD"/>
    <w:rsid w:val="0E275F37"/>
    <w:rsid w:val="0E356086"/>
    <w:rsid w:val="0E40263F"/>
    <w:rsid w:val="0E4D6177"/>
    <w:rsid w:val="0E5E0A75"/>
    <w:rsid w:val="0E6D69DD"/>
    <w:rsid w:val="0E9B55A0"/>
    <w:rsid w:val="0EAC30B7"/>
    <w:rsid w:val="0EB21AE9"/>
    <w:rsid w:val="0EBE6BB4"/>
    <w:rsid w:val="0EE83A89"/>
    <w:rsid w:val="0EF32033"/>
    <w:rsid w:val="0EFA7E34"/>
    <w:rsid w:val="0F0E326B"/>
    <w:rsid w:val="0F265075"/>
    <w:rsid w:val="0F4A2836"/>
    <w:rsid w:val="0F6B4C15"/>
    <w:rsid w:val="0F925D00"/>
    <w:rsid w:val="0FAB556D"/>
    <w:rsid w:val="0FB567CA"/>
    <w:rsid w:val="0FC41FA8"/>
    <w:rsid w:val="0FC7490B"/>
    <w:rsid w:val="0FF72BF8"/>
    <w:rsid w:val="0FFC1FE4"/>
    <w:rsid w:val="10113A50"/>
    <w:rsid w:val="102E13B8"/>
    <w:rsid w:val="103940F0"/>
    <w:rsid w:val="10402729"/>
    <w:rsid w:val="104170D9"/>
    <w:rsid w:val="1075696F"/>
    <w:rsid w:val="10B57BC6"/>
    <w:rsid w:val="10C74928"/>
    <w:rsid w:val="10D208A6"/>
    <w:rsid w:val="110A73E0"/>
    <w:rsid w:val="111342D4"/>
    <w:rsid w:val="1173657F"/>
    <w:rsid w:val="11921DE5"/>
    <w:rsid w:val="11930964"/>
    <w:rsid w:val="11A4611A"/>
    <w:rsid w:val="11AC199C"/>
    <w:rsid w:val="11D40EC1"/>
    <w:rsid w:val="11D870A5"/>
    <w:rsid w:val="11E31D4C"/>
    <w:rsid w:val="121D3AF4"/>
    <w:rsid w:val="12277D92"/>
    <w:rsid w:val="125A4B57"/>
    <w:rsid w:val="12684E59"/>
    <w:rsid w:val="127E6D86"/>
    <w:rsid w:val="12906453"/>
    <w:rsid w:val="12A66084"/>
    <w:rsid w:val="12B44556"/>
    <w:rsid w:val="12B62AF4"/>
    <w:rsid w:val="12BB2B42"/>
    <w:rsid w:val="12DD29E3"/>
    <w:rsid w:val="12E840DC"/>
    <w:rsid w:val="12F96378"/>
    <w:rsid w:val="12FF30D3"/>
    <w:rsid w:val="132F5D81"/>
    <w:rsid w:val="134123CF"/>
    <w:rsid w:val="134E059B"/>
    <w:rsid w:val="13BC48F8"/>
    <w:rsid w:val="13D1725E"/>
    <w:rsid w:val="13F5390A"/>
    <w:rsid w:val="13FB331B"/>
    <w:rsid w:val="140D7D73"/>
    <w:rsid w:val="141C53CC"/>
    <w:rsid w:val="142F4455"/>
    <w:rsid w:val="143A0A8B"/>
    <w:rsid w:val="145000A4"/>
    <w:rsid w:val="14503CE0"/>
    <w:rsid w:val="147825E6"/>
    <w:rsid w:val="1492384F"/>
    <w:rsid w:val="149E54BE"/>
    <w:rsid w:val="14B53500"/>
    <w:rsid w:val="14C058C1"/>
    <w:rsid w:val="14CC0022"/>
    <w:rsid w:val="14D67CAC"/>
    <w:rsid w:val="14FF0D5B"/>
    <w:rsid w:val="151A7369"/>
    <w:rsid w:val="151B24AF"/>
    <w:rsid w:val="15263F20"/>
    <w:rsid w:val="1561297C"/>
    <w:rsid w:val="156654B2"/>
    <w:rsid w:val="156F4F35"/>
    <w:rsid w:val="15843076"/>
    <w:rsid w:val="15990FF3"/>
    <w:rsid w:val="15AB75DA"/>
    <w:rsid w:val="15D8134F"/>
    <w:rsid w:val="15DB7BB9"/>
    <w:rsid w:val="15F26347"/>
    <w:rsid w:val="1623328D"/>
    <w:rsid w:val="162B2DEA"/>
    <w:rsid w:val="166836D0"/>
    <w:rsid w:val="167D0EE5"/>
    <w:rsid w:val="16A02918"/>
    <w:rsid w:val="16A90505"/>
    <w:rsid w:val="16B1384A"/>
    <w:rsid w:val="16CF2DAC"/>
    <w:rsid w:val="16CF61E0"/>
    <w:rsid w:val="16DA6B81"/>
    <w:rsid w:val="16E96377"/>
    <w:rsid w:val="16F20FD9"/>
    <w:rsid w:val="16F2543D"/>
    <w:rsid w:val="16F604F7"/>
    <w:rsid w:val="170F0A5F"/>
    <w:rsid w:val="172ECA83"/>
    <w:rsid w:val="173E49A6"/>
    <w:rsid w:val="174C0E45"/>
    <w:rsid w:val="174C5870"/>
    <w:rsid w:val="175A285D"/>
    <w:rsid w:val="17664E78"/>
    <w:rsid w:val="17862812"/>
    <w:rsid w:val="178D3CEC"/>
    <w:rsid w:val="178E57B1"/>
    <w:rsid w:val="179B0785"/>
    <w:rsid w:val="17AB72E5"/>
    <w:rsid w:val="17B47EE5"/>
    <w:rsid w:val="17B73FF6"/>
    <w:rsid w:val="17C60DA4"/>
    <w:rsid w:val="17C73392"/>
    <w:rsid w:val="17DA6F95"/>
    <w:rsid w:val="17EE595A"/>
    <w:rsid w:val="17F12BCE"/>
    <w:rsid w:val="181859B3"/>
    <w:rsid w:val="18265F58"/>
    <w:rsid w:val="184824D1"/>
    <w:rsid w:val="185241AD"/>
    <w:rsid w:val="18547998"/>
    <w:rsid w:val="185D1F5B"/>
    <w:rsid w:val="18833745"/>
    <w:rsid w:val="18BA6CAA"/>
    <w:rsid w:val="18BC001E"/>
    <w:rsid w:val="18D76C14"/>
    <w:rsid w:val="18E41337"/>
    <w:rsid w:val="18FC09E8"/>
    <w:rsid w:val="19034DE0"/>
    <w:rsid w:val="190E58A7"/>
    <w:rsid w:val="195A35FA"/>
    <w:rsid w:val="196D6306"/>
    <w:rsid w:val="198E23EE"/>
    <w:rsid w:val="199C0E60"/>
    <w:rsid w:val="19A71C7B"/>
    <w:rsid w:val="19AF5A77"/>
    <w:rsid w:val="19F425FE"/>
    <w:rsid w:val="1A1A3A1C"/>
    <w:rsid w:val="1A427EDA"/>
    <w:rsid w:val="1A533621"/>
    <w:rsid w:val="1A6B1CCC"/>
    <w:rsid w:val="1A867F57"/>
    <w:rsid w:val="1A9241F8"/>
    <w:rsid w:val="1A9C6094"/>
    <w:rsid w:val="1AA42F9E"/>
    <w:rsid w:val="1AC67579"/>
    <w:rsid w:val="1ACF4D7F"/>
    <w:rsid w:val="1AD24673"/>
    <w:rsid w:val="1AE60D31"/>
    <w:rsid w:val="1AF33901"/>
    <w:rsid w:val="1AF91DC5"/>
    <w:rsid w:val="1B047830"/>
    <w:rsid w:val="1B072714"/>
    <w:rsid w:val="1B0E7288"/>
    <w:rsid w:val="1B2151C7"/>
    <w:rsid w:val="1B2179C8"/>
    <w:rsid w:val="1B29026E"/>
    <w:rsid w:val="1B6B0119"/>
    <w:rsid w:val="1B7129D0"/>
    <w:rsid w:val="1B730C5D"/>
    <w:rsid w:val="1B794D65"/>
    <w:rsid w:val="1B7C24D7"/>
    <w:rsid w:val="1B9C1F5D"/>
    <w:rsid w:val="1B9F28ED"/>
    <w:rsid w:val="1BB20DE1"/>
    <w:rsid w:val="1BD9703F"/>
    <w:rsid w:val="1BF0372E"/>
    <w:rsid w:val="1BF6479D"/>
    <w:rsid w:val="1BF86EBF"/>
    <w:rsid w:val="1BFA272F"/>
    <w:rsid w:val="1C0D4016"/>
    <w:rsid w:val="1C104F9B"/>
    <w:rsid w:val="1C133EF3"/>
    <w:rsid w:val="1C250ABC"/>
    <w:rsid w:val="1C35615D"/>
    <w:rsid w:val="1C376547"/>
    <w:rsid w:val="1C5F168F"/>
    <w:rsid w:val="1C95664B"/>
    <w:rsid w:val="1C9A01A0"/>
    <w:rsid w:val="1CA27DA3"/>
    <w:rsid w:val="1CAD350F"/>
    <w:rsid w:val="1CB42726"/>
    <w:rsid w:val="1CB72FBA"/>
    <w:rsid w:val="1CE8149E"/>
    <w:rsid w:val="1D1454D1"/>
    <w:rsid w:val="1D25306B"/>
    <w:rsid w:val="1D36424F"/>
    <w:rsid w:val="1D5230E3"/>
    <w:rsid w:val="1D7B2FA7"/>
    <w:rsid w:val="1D821179"/>
    <w:rsid w:val="1DA35A57"/>
    <w:rsid w:val="1DA92A11"/>
    <w:rsid w:val="1DBC2A58"/>
    <w:rsid w:val="1DC50299"/>
    <w:rsid w:val="1DFE3EFC"/>
    <w:rsid w:val="1E38559D"/>
    <w:rsid w:val="1E4F1A55"/>
    <w:rsid w:val="1E533014"/>
    <w:rsid w:val="1E622F48"/>
    <w:rsid w:val="1E851C83"/>
    <w:rsid w:val="1E962008"/>
    <w:rsid w:val="1EAE039C"/>
    <w:rsid w:val="1EC20777"/>
    <w:rsid w:val="1ED44328"/>
    <w:rsid w:val="1EDD738F"/>
    <w:rsid w:val="1EEA09E8"/>
    <w:rsid w:val="1EF459BB"/>
    <w:rsid w:val="1EFDCA23"/>
    <w:rsid w:val="1F034F13"/>
    <w:rsid w:val="1F211497"/>
    <w:rsid w:val="1F331434"/>
    <w:rsid w:val="1F4759D8"/>
    <w:rsid w:val="1F4F775D"/>
    <w:rsid w:val="1F5003AD"/>
    <w:rsid w:val="1F5A597C"/>
    <w:rsid w:val="1F5B4088"/>
    <w:rsid w:val="1F723F49"/>
    <w:rsid w:val="1F826B41"/>
    <w:rsid w:val="1F8654CC"/>
    <w:rsid w:val="1FAF3EB1"/>
    <w:rsid w:val="1FD430C8"/>
    <w:rsid w:val="1FDF6255"/>
    <w:rsid w:val="20002B94"/>
    <w:rsid w:val="205B6A15"/>
    <w:rsid w:val="205C5215"/>
    <w:rsid w:val="20981357"/>
    <w:rsid w:val="20A70EA1"/>
    <w:rsid w:val="20C673B0"/>
    <w:rsid w:val="20DB7340"/>
    <w:rsid w:val="20DD59D0"/>
    <w:rsid w:val="20FA2470"/>
    <w:rsid w:val="211804ED"/>
    <w:rsid w:val="211C7BE8"/>
    <w:rsid w:val="21265657"/>
    <w:rsid w:val="213E7707"/>
    <w:rsid w:val="21607C9B"/>
    <w:rsid w:val="216F0531"/>
    <w:rsid w:val="21723124"/>
    <w:rsid w:val="217B47D4"/>
    <w:rsid w:val="218250BA"/>
    <w:rsid w:val="219D2992"/>
    <w:rsid w:val="21A14973"/>
    <w:rsid w:val="21C03D85"/>
    <w:rsid w:val="21E4080C"/>
    <w:rsid w:val="21ED3737"/>
    <w:rsid w:val="21FA6737"/>
    <w:rsid w:val="21FB2477"/>
    <w:rsid w:val="21FF6ED4"/>
    <w:rsid w:val="22260A5D"/>
    <w:rsid w:val="22403E65"/>
    <w:rsid w:val="22814CE4"/>
    <w:rsid w:val="22BB5BFA"/>
    <w:rsid w:val="22D407A3"/>
    <w:rsid w:val="23122977"/>
    <w:rsid w:val="23147F1E"/>
    <w:rsid w:val="231F559A"/>
    <w:rsid w:val="234826EF"/>
    <w:rsid w:val="234939F4"/>
    <w:rsid w:val="234E7E7B"/>
    <w:rsid w:val="235863E3"/>
    <w:rsid w:val="23614249"/>
    <w:rsid w:val="239B5F9A"/>
    <w:rsid w:val="23AD67F4"/>
    <w:rsid w:val="23C010B4"/>
    <w:rsid w:val="23C50128"/>
    <w:rsid w:val="23D213E7"/>
    <w:rsid w:val="23D92917"/>
    <w:rsid w:val="23E03B67"/>
    <w:rsid w:val="23F31039"/>
    <w:rsid w:val="23F50DEE"/>
    <w:rsid w:val="23F53B0C"/>
    <w:rsid w:val="24115774"/>
    <w:rsid w:val="24296FB8"/>
    <w:rsid w:val="242D14ED"/>
    <w:rsid w:val="24443F2C"/>
    <w:rsid w:val="24471B64"/>
    <w:rsid w:val="24651B54"/>
    <w:rsid w:val="24713360"/>
    <w:rsid w:val="24744720"/>
    <w:rsid w:val="247F1256"/>
    <w:rsid w:val="24810960"/>
    <w:rsid w:val="24877E4F"/>
    <w:rsid w:val="24BF6C72"/>
    <w:rsid w:val="24E731AD"/>
    <w:rsid w:val="24EB0CE5"/>
    <w:rsid w:val="24EE1B26"/>
    <w:rsid w:val="24FB4266"/>
    <w:rsid w:val="25040A4F"/>
    <w:rsid w:val="251903EC"/>
    <w:rsid w:val="253F2D2E"/>
    <w:rsid w:val="25404055"/>
    <w:rsid w:val="25480D10"/>
    <w:rsid w:val="254A097E"/>
    <w:rsid w:val="25534AA3"/>
    <w:rsid w:val="25770EE0"/>
    <w:rsid w:val="25986C75"/>
    <w:rsid w:val="25A74D15"/>
    <w:rsid w:val="25AB7A3A"/>
    <w:rsid w:val="25B661AC"/>
    <w:rsid w:val="25C56306"/>
    <w:rsid w:val="25D83D12"/>
    <w:rsid w:val="25E20719"/>
    <w:rsid w:val="25F00780"/>
    <w:rsid w:val="260128E8"/>
    <w:rsid w:val="26112C36"/>
    <w:rsid w:val="26115AF2"/>
    <w:rsid w:val="2612744E"/>
    <w:rsid w:val="26132621"/>
    <w:rsid w:val="26152AF0"/>
    <w:rsid w:val="262C4402"/>
    <w:rsid w:val="2640158B"/>
    <w:rsid w:val="2652272A"/>
    <w:rsid w:val="26523B3D"/>
    <w:rsid w:val="26756160"/>
    <w:rsid w:val="267568A8"/>
    <w:rsid w:val="26893AC5"/>
    <w:rsid w:val="268F3BF4"/>
    <w:rsid w:val="26992923"/>
    <w:rsid w:val="269A5064"/>
    <w:rsid w:val="26C153BE"/>
    <w:rsid w:val="26E82CA3"/>
    <w:rsid w:val="26FF1D6B"/>
    <w:rsid w:val="26FF472A"/>
    <w:rsid w:val="27101734"/>
    <w:rsid w:val="27123F80"/>
    <w:rsid w:val="27222ACC"/>
    <w:rsid w:val="2723631B"/>
    <w:rsid w:val="272E3268"/>
    <w:rsid w:val="27302C89"/>
    <w:rsid w:val="27604C7E"/>
    <w:rsid w:val="277F68F4"/>
    <w:rsid w:val="27EF2D7F"/>
    <w:rsid w:val="284D4FAC"/>
    <w:rsid w:val="2867693F"/>
    <w:rsid w:val="28932CCA"/>
    <w:rsid w:val="28F43DBF"/>
    <w:rsid w:val="28FE6BF3"/>
    <w:rsid w:val="290447C7"/>
    <w:rsid w:val="290C555D"/>
    <w:rsid w:val="291F4047"/>
    <w:rsid w:val="2920479C"/>
    <w:rsid w:val="293351D0"/>
    <w:rsid w:val="293D5638"/>
    <w:rsid w:val="29420EB1"/>
    <w:rsid w:val="2946746C"/>
    <w:rsid w:val="294E0E09"/>
    <w:rsid w:val="29512098"/>
    <w:rsid w:val="29667A18"/>
    <w:rsid w:val="299339A3"/>
    <w:rsid w:val="29AA4D00"/>
    <w:rsid w:val="29B20C8F"/>
    <w:rsid w:val="29B845E3"/>
    <w:rsid w:val="29CB6A95"/>
    <w:rsid w:val="2A082691"/>
    <w:rsid w:val="2A13514C"/>
    <w:rsid w:val="2A165807"/>
    <w:rsid w:val="2A1F0067"/>
    <w:rsid w:val="2A2C3864"/>
    <w:rsid w:val="2A42568A"/>
    <w:rsid w:val="2A5F6168"/>
    <w:rsid w:val="2A703D28"/>
    <w:rsid w:val="2A8F7205"/>
    <w:rsid w:val="2A923CC4"/>
    <w:rsid w:val="2AD700B5"/>
    <w:rsid w:val="2ADD0FFA"/>
    <w:rsid w:val="2AEA20B7"/>
    <w:rsid w:val="2AFC5C9B"/>
    <w:rsid w:val="2AFE1132"/>
    <w:rsid w:val="2B3B5DD6"/>
    <w:rsid w:val="2B3D6AF8"/>
    <w:rsid w:val="2B465BE5"/>
    <w:rsid w:val="2B71098C"/>
    <w:rsid w:val="2B716FD5"/>
    <w:rsid w:val="2B720FE8"/>
    <w:rsid w:val="2B8877F1"/>
    <w:rsid w:val="2BB60BC2"/>
    <w:rsid w:val="2BEF6E1F"/>
    <w:rsid w:val="2BF133B5"/>
    <w:rsid w:val="2C0A523F"/>
    <w:rsid w:val="2C240848"/>
    <w:rsid w:val="2C31279A"/>
    <w:rsid w:val="2C341508"/>
    <w:rsid w:val="2C3C4E60"/>
    <w:rsid w:val="2C527CCE"/>
    <w:rsid w:val="2C850598"/>
    <w:rsid w:val="2C903C4E"/>
    <w:rsid w:val="2C952599"/>
    <w:rsid w:val="2CC61A61"/>
    <w:rsid w:val="2CDD3765"/>
    <w:rsid w:val="2CEB2857"/>
    <w:rsid w:val="2CEE6D71"/>
    <w:rsid w:val="2CF47EC7"/>
    <w:rsid w:val="2CFE1C9E"/>
    <w:rsid w:val="2D204F1A"/>
    <w:rsid w:val="2D2375CB"/>
    <w:rsid w:val="2D2B6B8D"/>
    <w:rsid w:val="2D35408E"/>
    <w:rsid w:val="2D3C366E"/>
    <w:rsid w:val="2D8D24F5"/>
    <w:rsid w:val="2D9A4277"/>
    <w:rsid w:val="2DAD5320"/>
    <w:rsid w:val="2DB865DF"/>
    <w:rsid w:val="2DC412A4"/>
    <w:rsid w:val="2DC50DB7"/>
    <w:rsid w:val="2DC91D7A"/>
    <w:rsid w:val="2DCA53AC"/>
    <w:rsid w:val="2DD57EF4"/>
    <w:rsid w:val="2E396CE5"/>
    <w:rsid w:val="2E4C1C58"/>
    <w:rsid w:val="2E5F47F1"/>
    <w:rsid w:val="2E6827D0"/>
    <w:rsid w:val="2E6D2F71"/>
    <w:rsid w:val="2E714306"/>
    <w:rsid w:val="2E722620"/>
    <w:rsid w:val="2E7C549B"/>
    <w:rsid w:val="2E8C018F"/>
    <w:rsid w:val="2E8D676F"/>
    <w:rsid w:val="2E92271C"/>
    <w:rsid w:val="2EA45B8E"/>
    <w:rsid w:val="2EA93E29"/>
    <w:rsid w:val="2ECD1837"/>
    <w:rsid w:val="2EE149BC"/>
    <w:rsid w:val="2EF26D01"/>
    <w:rsid w:val="2EFF6701"/>
    <w:rsid w:val="2F017242"/>
    <w:rsid w:val="2F10291F"/>
    <w:rsid w:val="2F1808D1"/>
    <w:rsid w:val="2F4366A6"/>
    <w:rsid w:val="2F5164AA"/>
    <w:rsid w:val="2F652BCF"/>
    <w:rsid w:val="2F6D1D26"/>
    <w:rsid w:val="2F7F0CFB"/>
    <w:rsid w:val="2FAA0695"/>
    <w:rsid w:val="2FB46B94"/>
    <w:rsid w:val="2FB46E87"/>
    <w:rsid w:val="2FB674D6"/>
    <w:rsid w:val="2FDD61ED"/>
    <w:rsid w:val="2FDE5F54"/>
    <w:rsid w:val="2FE37577"/>
    <w:rsid w:val="2FE6A6BA"/>
    <w:rsid w:val="300660BA"/>
    <w:rsid w:val="301452F1"/>
    <w:rsid w:val="301829E9"/>
    <w:rsid w:val="301B756B"/>
    <w:rsid w:val="302F3744"/>
    <w:rsid w:val="30344521"/>
    <w:rsid w:val="304C6E97"/>
    <w:rsid w:val="30682CD6"/>
    <w:rsid w:val="306A1BA9"/>
    <w:rsid w:val="307301C5"/>
    <w:rsid w:val="30754B1E"/>
    <w:rsid w:val="307627FB"/>
    <w:rsid w:val="30777594"/>
    <w:rsid w:val="30790AEE"/>
    <w:rsid w:val="307D7A6D"/>
    <w:rsid w:val="308A065A"/>
    <w:rsid w:val="308E5D09"/>
    <w:rsid w:val="30B938DF"/>
    <w:rsid w:val="30C32F46"/>
    <w:rsid w:val="30C86099"/>
    <w:rsid w:val="30D208F0"/>
    <w:rsid w:val="30E42C7F"/>
    <w:rsid w:val="310B7163"/>
    <w:rsid w:val="311F55E2"/>
    <w:rsid w:val="31463534"/>
    <w:rsid w:val="31587837"/>
    <w:rsid w:val="31741628"/>
    <w:rsid w:val="31A10AB0"/>
    <w:rsid w:val="31AC0DC2"/>
    <w:rsid w:val="31D43C68"/>
    <w:rsid w:val="31ED19AB"/>
    <w:rsid w:val="31F12A2C"/>
    <w:rsid w:val="31F2105E"/>
    <w:rsid w:val="321737BD"/>
    <w:rsid w:val="3236490D"/>
    <w:rsid w:val="32431448"/>
    <w:rsid w:val="324A50BE"/>
    <w:rsid w:val="32616199"/>
    <w:rsid w:val="326A694F"/>
    <w:rsid w:val="32FA2047"/>
    <w:rsid w:val="33165446"/>
    <w:rsid w:val="3338130B"/>
    <w:rsid w:val="335D70E0"/>
    <w:rsid w:val="33664FA1"/>
    <w:rsid w:val="336A7E1D"/>
    <w:rsid w:val="336F241E"/>
    <w:rsid w:val="33747E76"/>
    <w:rsid w:val="337C0444"/>
    <w:rsid w:val="33A15CC8"/>
    <w:rsid w:val="33B20A50"/>
    <w:rsid w:val="33B45862"/>
    <w:rsid w:val="33CA0551"/>
    <w:rsid w:val="33D36851"/>
    <w:rsid w:val="33F629CD"/>
    <w:rsid w:val="33FB1B8D"/>
    <w:rsid w:val="343A4174"/>
    <w:rsid w:val="346E6F6B"/>
    <w:rsid w:val="348F7BD9"/>
    <w:rsid w:val="34A21875"/>
    <w:rsid w:val="34A74712"/>
    <w:rsid w:val="34C77B82"/>
    <w:rsid w:val="34DA42C5"/>
    <w:rsid w:val="34EE6E67"/>
    <w:rsid w:val="350205FB"/>
    <w:rsid w:val="352F136C"/>
    <w:rsid w:val="354748F9"/>
    <w:rsid w:val="354F06C3"/>
    <w:rsid w:val="35802E1B"/>
    <w:rsid w:val="35836095"/>
    <w:rsid w:val="35AD209F"/>
    <w:rsid w:val="35C61039"/>
    <w:rsid w:val="35D609A3"/>
    <w:rsid w:val="35E24678"/>
    <w:rsid w:val="35E552D5"/>
    <w:rsid w:val="35FA5E74"/>
    <w:rsid w:val="35FF0A0D"/>
    <w:rsid w:val="361352C6"/>
    <w:rsid w:val="362B4047"/>
    <w:rsid w:val="362F1943"/>
    <w:rsid w:val="363C023B"/>
    <w:rsid w:val="36890CC6"/>
    <w:rsid w:val="36A4285B"/>
    <w:rsid w:val="36AC4F03"/>
    <w:rsid w:val="36AD4CE9"/>
    <w:rsid w:val="36C35C75"/>
    <w:rsid w:val="36CC1C82"/>
    <w:rsid w:val="36D265FE"/>
    <w:rsid w:val="36DB2441"/>
    <w:rsid w:val="372C3815"/>
    <w:rsid w:val="373001FA"/>
    <w:rsid w:val="3738635C"/>
    <w:rsid w:val="373E314A"/>
    <w:rsid w:val="3754265F"/>
    <w:rsid w:val="375F2EBC"/>
    <w:rsid w:val="376E771B"/>
    <w:rsid w:val="37805826"/>
    <w:rsid w:val="37B43EFF"/>
    <w:rsid w:val="37D119DA"/>
    <w:rsid w:val="37D72AE5"/>
    <w:rsid w:val="37DD8399"/>
    <w:rsid w:val="37F718E9"/>
    <w:rsid w:val="380773EB"/>
    <w:rsid w:val="381414C1"/>
    <w:rsid w:val="38197A70"/>
    <w:rsid w:val="3824387A"/>
    <w:rsid w:val="387B4C0D"/>
    <w:rsid w:val="388C3D33"/>
    <w:rsid w:val="388C670C"/>
    <w:rsid w:val="38963245"/>
    <w:rsid w:val="38B5657C"/>
    <w:rsid w:val="38F35981"/>
    <w:rsid w:val="38F80499"/>
    <w:rsid w:val="39046CC8"/>
    <w:rsid w:val="390A4620"/>
    <w:rsid w:val="395F7B93"/>
    <w:rsid w:val="3964090D"/>
    <w:rsid w:val="396B218E"/>
    <w:rsid w:val="397C6C9F"/>
    <w:rsid w:val="39976BB3"/>
    <w:rsid w:val="39CD615F"/>
    <w:rsid w:val="39D8648A"/>
    <w:rsid w:val="39D90771"/>
    <w:rsid w:val="39DD3DD5"/>
    <w:rsid w:val="39EA0939"/>
    <w:rsid w:val="39F3115F"/>
    <w:rsid w:val="3A08765C"/>
    <w:rsid w:val="3A12791B"/>
    <w:rsid w:val="3A344D9A"/>
    <w:rsid w:val="3A584235"/>
    <w:rsid w:val="3A856A0F"/>
    <w:rsid w:val="3AB30739"/>
    <w:rsid w:val="3AE0795C"/>
    <w:rsid w:val="3AEF4225"/>
    <w:rsid w:val="3B000A60"/>
    <w:rsid w:val="3B012A92"/>
    <w:rsid w:val="3B033822"/>
    <w:rsid w:val="3B0E0121"/>
    <w:rsid w:val="3B184CDF"/>
    <w:rsid w:val="3B3E4A05"/>
    <w:rsid w:val="3B3F399E"/>
    <w:rsid w:val="3B464E92"/>
    <w:rsid w:val="3B477C01"/>
    <w:rsid w:val="3B543BE4"/>
    <w:rsid w:val="3B5570E7"/>
    <w:rsid w:val="3B5948B6"/>
    <w:rsid w:val="3B65042E"/>
    <w:rsid w:val="3B6654C5"/>
    <w:rsid w:val="3B9229BE"/>
    <w:rsid w:val="3BA63A3D"/>
    <w:rsid w:val="3BB87921"/>
    <w:rsid w:val="3BDF8387"/>
    <w:rsid w:val="3BDFF255"/>
    <w:rsid w:val="3BE220A7"/>
    <w:rsid w:val="3BE630B4"/>
    <w:rsid w:val="3C1F1587"/>
    <w:rsid w:val="3C2564BB"/>
    <w:rsid w:val="3C613AB4"/>
    <w:rsid w:val="3C76C68C"/>
    <w:rsid w:val="3C7A5F0D"/>
    <w:rsid w:val="3C856A67"/>
    <w:rsid w:val="3C9F2299"/>
    <w:rsid w:val="3CA64660"/>
    <w:rsid w:val="3CAE277A"/>
    <w:rsid w:val="3CBF3303"/>
    <w:rsid w:val="3CE119A1"/>
    <w:rsid w:val="3CF228E2"/>
    <w:rsid w:val="3CF3017A"/>
    <w:rsid w:val="3D076F7A"/>
    <w:rsid w:val="3D2C2211"/>
    <w:rsid w:val="3D3F69A8"/>
    <w:rsid w:val="3D4679D1"/>
    <w:rsid w:val="3D7C071B"/>
    <w:rsid w:val="3D976DCE"/>
    <w:rsid w:val="3DD10ED4"/>
    <w:rsid w:val="3DE42C19"/>
    <w:rsid w:val="3DF60E81"/>
    <w:rsid w:val="3E2105BF"/>
    <w:rsid w:val="3E370E18"/>
    <w:rsid w:val="3E412892"/>
    <w:rsid w:val="3E77166A"/>
    <w:rsid w:val="3E7E4099"/>
    <w:rsid w:val="3E9550AE"/>
    <w:rsid w:val="3E963C5B"/>
    <w:rsid w:val="3EBA0C71"/>
    <w:rsid w:val="3EEC5619"/>
    <w:rsid w:val="3EF379A8"/>
    <w:rsid w:val="3EFF8BCE"/>
    <w:rsid w:val="3F051E09"/>
    <w:rsid w:val="3F100304"/>
    <w:rsid w:val="3F2C0054"/>
    <w:rsid w:val="3F5B1501"/>
    <w:rsid w:val="3F5C2F3A"/>
    <w:rsid w:val="3F6601D5"/>
    <w:rsid w:val="3F7A17BA"/>
    <w:rsid w:val="3F8825F3"/>
    <w:rsid w:val="3F906A50"/>
    <w:rsid w:val="3F9C7D6C"/>
    <w:rsid w:val="3FD56141"/>
    <w:rsid w:val="3FDF2948"/>
    <w:rsid w:val="3FF11F8F"/>
    <w:rsid w:val="3FFA6A15"/>
    <w:rsid w:val="3FFC448B"/>
    <w:rsid w:val="40023694"/>
    <w:rsid w:val="40281B4E"/>
    <w:rsid w:val="406A7DB2"/>
    <w:rsid w:val="40761161"/>
    <w:rsid w:val="408A4405"/>
    <w:rsid w:val="409155D8"/>
    <w:rsid w:val="40BC1426"/>
    <w:rsid w:val="40C4293E"/>
    <w:rsid w:val="40D30D5A"/>
    <w:rsid w:val="40DA2F44"/>
    <w:rsid w:val="40E20083"/>
    <w:rsid w:val="40EB068C"/>
    <w:rsid w:val="40F32FE2"/>
    <w:rsid w:val="40F40612"/>
    <w:rsid w:val="41271819"/>
    <w:rsid w:val="41440357"/>
    <w:rsid w:val="4173508F"/>
    <w:rsid w:val="418B6421"/>
    <w:rsid w:val="41B71360"/>
    <w:rsid w:val="41C170D8"/>
    <w:rsid w:val="41C75D77"/>
    <w:rsid w:val="41CC54EE"/>
    <w:rsid w:val="41D0310A"/>
    <w:rsid w:val="41E05371"/>
    <w:rsid w:val="41F56C68"/>
    <w:rsid w:val="4238028A"/>
    <w:rsid w:val="42456D28"/>
    <w:rsid w:val="427F6108"/>
    <w:rsid w:val="42A0569D"/>
    <w:rsid w:val="42AE24C0"/>
    <w:rsid w:val="42B414D8"/>
    <w:rsid w:val="42C34DF8"/>
    <w:rsid w:val="42DC0DDB"/>
    <w:rsid w:val="42E70342"/>
    <w:rsid w:val="42EC00F4"/>
    <w:rsid w:val="431C44AA"/>
    <w:rsid w:val="43217D84"/>
    <w:rsid w:val="432D54EE"/>
    <w:rsid w:val="43342C58"/>
    <w:rsid w:val="433F52D5"/>
    <w:rsid w:val="436F7CCC"/>
    <w:rsid w:val="437750AC"/>
    <w:rsid w:val="437E4F93"/>
    <w:rsid w:val="438568F3"/>
    <w:rsid w:val="438C45B0"/>
    <w:rsid w:val="4392452C"/>
    <w:rsid w:val="43927515"/>
    <w:rsid w:val="43980058"/>
    <w:rsid w:val="43AE4817"/>
    <w:rsid w:val="43CC61D9"/>
    <w:rsid w:val="43CE4C48"/>
    <w:rsid w:val="4413067C"/>
    <w:rsid w:val="441B6ECA"/>
    <w:rsid w:val="441E3CCD"/>
    <w:rsid w:val="442833AF"/>
    <w:rsid w:val="442B6866"/>
    <w:rsid w:val="44337121"/>
    <w:rsid w:val="44392FCC"/>
    <w:rsid w:val="443B5FC7"/>
    <w:rsid w:val="44666DC3"/>
    <w:rsid w:val="44726D8F"/>
    <w:rsid w:val="448273F5"/>
    <w:rsid w:val="449D3958"/>
    <w:rsid w:val="44B76048"/>
    <w:rsid w:val="44BB06D3"/>
    <w:rsid w:val="44CF7374"/>
    <w:rsid w:val="44DD6689"/>
    <w:rsid w:val="44EC1A26"/>
    <w:rsid w:val="44ED3F91"/>
    <w:rsid w:val="44EE6105"/>
    <w:rsid w:val="44F17528"/>
    <w:rsid w:val="44F505D1"/>
    <w:rsid w:val="44F659EA"/>
    <w:rsid w:val="44FF3691"/>
    <w:rsid w:val="45174D3C"/>
    <w:rsid w:val="45177427"/>
    <w:rsid w:val="452A5A41"/>
    <w:rsid w:val="45364187"/>
    <w:rsid w:val="455124B7"/>
    <w:rsid w:val="45541170"/>
    <w:rsid w:val="456278AE"/>
    <w:rsid w:val="458A7A33"/>
    <w:rsid w:val="459E194F"/>
    <w:rsid w:val="45B04463"/>
    <w:rsid w:val="45B5636D"/>
    <w:rsid w:val="45B829A2"/>
    <w:rsid w:val="45BA296E"/>
    <w:rsid w:val="45BE0909"/>
    <w:rsid w:val="45E553BD"/>
    <w:rsid w:val="45ED7963"/>
    <w:rsid w:val="45FA2311"/>
    <w:rsid w:val="4606672B"/>
    <w:rsid w:val="46223EB9"/>
    <w:rsid w:val="46253417"/>
    <w:rsid w:val="46311FE4"/>
    <w:rsid w:val="46595606"/>
    <w:rsid w:val="465C6424"/>
    <w:rsid w:val="46611383"/>
    <w:rsid w:val="46677CCB"/>
    <w:rsid w:val="4692772F"/>
    <w:rsid w:val="46C33F36"/>
    <w:rsid w:val="46C53FAB"/>
    <w:rsid w:val="46C55FD8"/>
    <w:rsid w:val="46E76BB1"/>
    <w:rsid w:val="46F00BF7"/>
    <w:rsid w:val="470666F6"/>
    <w:rsid w:val="470D7A86"/>
    <w:rsid w:val="470F34A2"/>
    <w:rsid w:val="4716170F"/>
    <w:rsid w:val="4728624E"/>
    <w:rsid w:val="474349AC"/>
    <w:rsid w:val="4750700C"/>
    <w:rsid w:val="475A0585"/>
    <w:rsid w:val="47755D6A"/>
    <w:rsid w:val="47854627"/>
    <w:rsid w:val="47B30D72"/>
    <w:rsid w:val="47B45E21"/>
    <w:rsid w:val="47BC7F8A"/>
    <w:rsid w:val="47C06F1E"/>
    <w:rsid w:val="47DB65E0"/>
    <w:rsid w:val="47DF10AE"/>
    <w:rsid w:val="481330CA"/>
    <w:rsid w:val="4814211D"/>
    <w:rsid w:val="48164D90"/>
    <w:rsid w:val="484D79D1"/>
    <w:rsid w:val="488A74A7"/>
    <w:rsid w:val="48960091"/>
    <w:rsid w:val="489C5A3C"/>
    <w:rsid w:val="48A86D57"/>
    <w:rsid w:val="48B458F5"/>
    <w:rsid w:val="48EC308C"/>
    <w:rsid w:val="48F92419"/>
    <w:rsid w:val="490D2EA4"/>
    <w:rsid w:val="491C1533"/>
    <w:rsid w:val="49340666"/>
    <w:rsid w:val="49481115"/>
    <w:rsid w:val="49666ABD"/>
    <w:rsid w:val="499764AE"/>
    <w:rsid w:val="49A02E70"/>
    <w:rsid w:val="49BD361E"/>
    <w:rsid w:val="49BE6467"/>
    <w:rsid w:val="49E576CE"/>
    <w:rsid w:val="4A57052D"/>
    <w:rsid w:val="4A607ACE"/>
    <w:rsid w:val="4A641E98"/>
    <w:rsid w:val="4A9C45B5"/>
    <w:rsid w:val="4AB8201C"/>
    <w:rsid w:val="4AE0795B"/>
    <w:rsid w:val="4AEA45A3"/>
    <w:rsid w:val="4AEF5300"/>
    <w:rsid w:val="4B07440D"/>
    <w:rsid w:val="4B074528"/>
    <w:rsid w:val="4B0A4FB8"/>
    <w:rsid w:val="4B4876AE"/>
    <w:rsid w:val="4B4D5EBE"/>
    <w:rsid w:val="4B6047A3"/>
    <w:rsid w:val="4B64275B"/>
    <w:rsid w:val="4B6F2A86"/>
    <w:rsid w:val="4B957188"/>
    <w:rsid w:val="4B9F477F"/>
    <w:rsid w:val="4BA25184"/>
    <w:rsid w:val="4BBF1ACC"/>
    <w:rsid w:val="4BC002A5"/>
    <w:rsid w:val="4BE33314"/>
    <w:rsid w:val="4BF17D39"/>
    <w:rsid w:val="4C060DE5"/>
    <w:rsid w:val="4C097B97"/>
    <w:rsid w:val="4C23435A"/>
    <w:rsid w:val="4C375723"/>
    <w:rsid w:val="4C7B509B"/>
    <w:rsid w:val="4CBC44DA"/>
    <w:rsid w:val="4CBE746D"/>
    <w:rsid w:val="4CCC09AB"/>
    <w:rsid w:val="4CCC2471"/>
    <w:rsid w:val="4CE321CA"/>
    <w:rsid w:val="4D070E87"/>
    <w:rsid w:val="4D086BA3"/>
    <w:rsid w:val="4D2D4C67"/>
    <w:rsid w:val="4D3A0009"/>
    <w:rsid w:val="4D525947"/>
    <w:rsid w:val="4D706339"/>
    <w:rsid w:val="4DCED7F3"/>
    <w:rsid w:val="4DF64000"/>
    <w:rsid w:val="4E084CD4"/>
    <w:rsid w:val="4E236121"/>
    <w:rsid w:val="4E396E28"/>
    <w:rsid w:val="4E460CFD"/>
    <w:rsid w:val="4E5317FD"/>
    <w:rsid w:val="4E676DEC"/>
    <w:rsid w:val="4E726A98"/>
    <w:rsid w:val="4EB11E80"/>
    <w:rsid w:val="4EEF9B3F"/>
    <w:rsid w:val="4F001B20"/>
    <w:rsid w:val="4F232336"/>
    <w:rsid w:val="4F253689"/>
    <w:rsid w:val="4F3D2C02"/>
    <w:rsid w:val="4F3D5216"/>
    <w:rsid w:val="4F4D5E3F"/>
    <w:rsid w:val="4F4E362B"/>
    <w:rsid w:val="4F5C3786"/>
    <w:rsid w:val="4F73C3D7"/>
    <w:rsid w:val="4F8B02F6"/>
    <w:rsid w:val="501673E0"/>
    <w:rsid w:val="501871CB"/>
    <w:rsid w:val="501E0A79"/>
    <w:rsid w:val="50351DDF"/>
    <w:rsid w:val="503763E6"/>
    <w:rsid w:val="503D2418"/>
    <w:rsid w:val="50414F5F"/>
    <w:rsid w:val="504A6CC0"/>
    <w:rsid w:val="505D43D4"/>
    <w:rsid w:val="507D63B5"/>
    <w:rsid w:val="50860CD9"/>
    <w:rsid w:val="508D7455"/>
    <w:rsid w:val="50A4006E"/>
    <w:rsid w:val="50D7371F"/>
    <w:rsid w:val="50D74233"/>
    <w:rsid w:val="50F956AD"/>
    <w:rsid w:val="51085975"/>
    <w:rsid w:val="510C15DF"/>
    <w:rsid w:val="5111153B"/>
    <w:rsid w:val="51173E87"/>
    <w:rsid w:val="51353688"/>
    <w:rsid w:val="513E1849"/>
    <w:rsid w:val="514D0809"/>
    <w:rsid w:val="515C5288"/>
    <w:rsid w:val="515E0B09"/>
    <w:rsid w:val="516A1676"/>
    <w:rsid w:val="518C3AD4"/>
    <w:rsid w:val="518E1EEA"/>
    <w:rsid w:val="51956D68"/>
    <w:rsid w:val="519647E9"/>
    <w:rsid w:val="519969BE"/>
    <w:rsid w:val="51B12745"/>
    <w:rsid w:val="51DC166E"/>
    <w:rsid w:val="51E806A4"/>
    <w:rsid w:val="51F04199"/>
    <w:rsid w:val="52235C2C"/>
    <w:rsid w:val="522B58DB"/>
    <w:rsid w:val="525E1066"/>
    <w:rsid w:val="526C348F"/>
    <w:rsid w:val="52770E59"/>
    <w:rsid w:val="5290318F"/>
    <w:rsid w:val="52AF1D00"/>
    <w:rsid w:val="52BA10C9"/>
    <w:rsid w:val="52DA250B"/>
    <w:rsid w:val="52E629CE"/>
    <w:rsid w:val="52FD16C5"/>
    <w:rsid w:val="53332DEB"/>
    <w:rsid w:val="533C21E0"/>
    <w:rsid w:val="533C2DB6"/>
    <w:rsid w:val="5344377D"/>
    <w:rsid w:val="53745F79"/>
    <w:rsid w:val="538D6EA3"/>
    <w:rsid w:val="539C2A57"/>
    <w:rsid w:val="53A34B0B"/>
    <w:rsid w:val="53B02E5E"/>
    <w:rsid w:val="53B04EB9"/>
    <w:rsid w:val="53B5105F"/>
    <w:rsid w:val="53BF5D02"/>
    <w:rsid w:val="53F171A1"/>
    <w:rsid w:val="54027EB5"/>
    <w:rsid w:val="541C3AB1"/>
    <w:rsid w:val="542B23E3"/>
    <w:rsid w:val="543C4E63"/>
    <w:rsid w:val="544F4BFB"/>
    <w:rsid w:val="546151D9"/>
    <w:rsid w:val="547E2B40"/>
    <w:rsid w:val="548117E3"/>
    <w:rsid w:val="54870F1E"/>
    <w:rsid w:val="54AE5A92"/>
    <w:rsid w:val="54B61E08"/>
    <w:rsid w:val="54D36D3D"/>
    <w:rsid w:val="54DB2E85"/>
    <w:rsid w:val="54FC2B30"/>
    <w:rsid w:val="550137BC"/>
    <w:rsid w:val="55166749"/>
    <w:rsid w:val="5524508F"/>
    <w:rsid w:val="552B1DC7"/>
    <w:rsid w:val="557B3C12"/>
    <w:rsid w:val="55905EAC"/>
    <w:rsid w:val="5599065D"/>
    <w:rsid w:val="559D44BA"/>
    <w:rsid w:val="55AF7B72"/>
    <w:rsid w:val="55D35B36"/>
    <w:rsid w:val="55E37CEA"/>
    <w:rsid w:val="56071D6C"/>
    <w:rsid w:val="563A4BB8"/>
    <w:rsid w:val="564428FB"/>
    <w:rsid w:val="564B1473"/>
    <w:rsid w:val="56613185"/>
    <w:rsid w:val="568B20C8"/>
    <w:rsid w:val="56A77013"/>
    <w:rsid w:val="56C94D8C"/>
    <w:rsid w:val="56CC58ED"/>
    <w:rsid w:val="56CF2A43"/>
    <w:rsid w:val="56E16271"/>
    <w:rsid w:val="56FF52E0"/>
    <w:rsid w:val="572F15ED"/>
    <w:rsid w:val="57383D56"/>
    <w:rsid w:val="574249B5"/>
    <w:rsid w:val="578D546A"/>
    <w:rsid w:val="578F37C9"/>
    <w:rsid w:val="5797688F"/>
    <w:rsid w:val="579B7DAB"/>
    <w:rsid w:val="57D9752A"/>
    <w:rsid w:val="57DC1CDF"/>
    <w:rsid w:val="57DD96A4"/>
    <w:rsid w:val="57E50217"/>
    <w:rsid w:val="57E740FA"/>
    <w:rsid w:val="57F23C9E"/>
    <w:rsid w:val="57F71C03"/>
    <w:rsid w:val="57F95B34"/>
    <w:rsid w:val="58027643"/>
    <w:rsid w:val="58080AAB"/>
    <w:rsid w:val="58371718"/>
    <w:rsid w:val="58495B28"/>
    <w:rsid w:val="586F62D6"/>
    <w:rsid w:val="58761264"/>
    <w:rsid w:val="587F4066"/>
    <w:rsid w:val="58887219"/>
    <w:rsid w:val="588F1066"/>
    <w:rsid w:val="58CE5F0A"/>
    <w:rsid w:val="58DD7598"/>
    <w:rsid w:val="59116875"/>
    <w:rsid w:val="59242730"/>
    <w:rsid w:val="593469FA"/>
    <w:rsid w:val="59813812"/>
    <w:rsid w:val="5987250D"/>
    <w:rsid w:val="5991798B"/>
    <w:rsid w:val="59C1488F"/>
    <w:rsid w:val="59CF3A6C"/>
    <w:rsid w:val="59D8414D"/>
    <w:rsid w:val="59EE1D27"/>
    <w:rsid w:val="5A367173"/>
    <w:rsid w:val="5A475BA4"/>
    <w:rsid w:val="5A521068"/>
    <w:rsid w:val="5A6D3B5F"/>
    <w:rsid w:val="5A7443AC"/>
    <w:rsid w:val="5A9F7F49"/>
    <w:rsid w:val="5ACB37B8"/>
    <w:rsid w:val="5AEA5A59"/>
    <w:rsid w:val="5AEE28D3"/>
    <w:rsid w:val="5AEFC2D9"/>
    <w:rsid w:val="5AFC79BC"/>
    <w:rsid w:val="5B074697"/>
    <w:rsid w:val="5B181E9A"/>
    <w:rsid w:val="5B245915"/>
    <w:rsid w:val="5B2E2276"/>
    <w:rsid w:val="5B3F04EE"/>
    <w:rsid w:val="5B4C4866"/>
    <w:rsid w:val="5B506A46"/>
    <w:rsid w:val="5B5109CC"/>
    <w:rsid w:val="5B7268D3"/>
    <w:rsid w:val="5B7414BD"/>
    <w:rsid w:val="5B751975"/>
    <w:rsid w:val="5B8838A6"/>
    <w:rsid w:val="5B924A4F"/>
    <w:rsid w:val="5B9947E6"/>
    <w:rsid w:val="5BAE7968"/>
    <w:rsid w:val="5BB84356"/>
    <w:rsid w:val="5BC56106"/>
    <w:rsid w:val="5BD2006C"/>
    <w:rsid w:val="5BE4141C"/>
    <w:rsid w:val="5BEBF0D9"/>
    <w:rsid w:val="5BEFB2E9"/>
    <w:rsid w:val="5BFE77D0"/>
    <w:rsid w:val="5C26288D"/>
    <w:rsid w:val="5C421F4C"/>
    <w:rsid w:val="5C531703"/>
    <w:rsid w:val="5C6C03CF"/>
    <w:rsid w:val="5C8521BB"/>
    <w:rsid w:val="5C867983"/>
    <w:rsid w:val="5C937826"/>
    <w:rsid w:val="5C965EF2"/>
    <w:rsid w:val="5CA23032"/>
    <w:rsid w:val="5CAD799A"/>
    <w:rsid w:val="5CAE05DF"/>
    <w:rsid w:val="5CBD3639"/>
    <w:rsid w:val="5CC47CC0"/>
    <w:rsid w:val="5CD606C7"/>
    <w:rsid w:val="5CE432F5"/>
    <w:rsid w:val="5D042FB1"/>
    <w:rsid w:val="5D07554F"/>
    <w:rsid w:val="5D18346F"/>
    <w:rsid w:val="5D2F708B"/>
    <w:rsid w:val="5D3103CC"/>
    <w:rsid w:val="5D3A0883"/>
    <w:rsid w:val="5D3A4357"/>
    <w:rsid w:val="5D3BC0EE"/>
    <w:rsid w:val="5D40790E"/>
    <w:rsid w:val="5D4132E2"/>
    <w:rsid w:val="5D587E33"/>
    <w:rsid w:val="5D630840"/>
    <w:rsid w:val="5D6772C4"/>
    <w:rsid w:val="5D7538C4"/>
    <w:rsid w:val="5D7A7687"/>
    <w:rsid w:val="5D9C143B"/>
    <w:rsid w:val="5DB93E4F"/>
    <w:rsid w:val="5DDF01B6"/>
    <w:rsid w:val="5E19599A"/>
    <w:rsid w:val="5E317DD6"/>
    <w:rsid w:val="5E355F69"/>
    <w:rsid w:val="5E3D09F2"/>
    <w:rsid w:val="5E4205F5"/>
    <w:rsid w:val="5E4B62BE"/>
    <w:rsid w:val="5E5171FC"/>
    <w:rsid w:val="5E6403A2"/>
    <w:rsid w:val="5E677C9B"/>
    <w:rsid w:val="5E7409E7"/>
    <w:rsid w:val="5E7B39C0"/>
    <w:rsid w:val="5EAB3209"/>
    <w:rsid w:val="5EDFE66C"/>
    <w:rsid w:val="5EE0517F"/>
    <w:rsid w:val="5F082CE9"/>
    <w:rsid w:val="5F3E4195"/>
    <w:rsid w:val="5F4967A6"/>
    <w:rsid w:val="5F50299A"/>
    <w:rsid w:val="5F6FDAA4"/>
    <w:rsid w:val="5F7D1893"/>
    <w:rsid w:val="5FAA485F"/>
    <w:rsid w:val="5FC86A51"/>
    <w:rsid w:val="5FF7A348"/>
    <w:rsid w:val="5FFFF9C3"/>
    <w:rsid w:val="60043E23"/>
    <w:rsid w:val="600B5F99"/>
    <w:rsid w:val="60155640"/>
    <w:rsid w:val="6016122C"/>
    <w:rsid w:val="602B7618"/>
    <w:rsid w:val="60824F1D"/>
    <w:rsid w:val="608C01A9"/>
    <w:rsid w:val="608D4AF0"/>
    <w:rsid w:val="60A81C14"/>
    <w:rsid w:val="60BC04C4"/>
    <w:rsid w:val="60CC28A6"/>
    <w:rsid w:val="60DE7093"/>
    <w:rsid w:val="60DF759A"/>
    <w:rsid w:val="61114017"/>
    <w:rsid w:val="611922D8"/>
    <w:rsid w:val="61246BEF"/>
    <w:rsid w:val="61356E89"/>
    <w:rsid w:val="614009A1"/>
    <w:rsid w:val="615E708C"/>
    <w:rsid w:val="616C0882"/>
    <w:rsid w:val="616E5D6A"/>
    <w:rsid w:val="617239DE"/>
    <w:rsid w:val="618A1E17"/>
    <w:rsid w:val="6198609F"/>
    <w:rsid w:val="61990EC7"/>
    <w:rsid w:val="61AE4F51"/>
    <w:rsid w:val="61C36587"/>
    <w:rsid w:val="61C96567"/>
    <w:rsid w:val="61F91EE3"/>
    <w:rsid w:val="621E07D2"/>
    <w:rsid w:val="624127C0"/>
    <w:rsid w:val="62587679"/>
    <w:rsid w:val="62673B0F"/>
    <w:rsid w:val="626F78A5"/>
    <w:rsid w:val="62761C54"/>
    <w:rsid w:val="627E4CC6"/>
    <w:rsid w:val="629152E7"/>
    <w:rsid w:val="62A12015"/>
    <w:rsid w:val="62A96A09"/>
    <w:rsid w:val="62B94784"/>
    <w:rsid w:val="62BE36CD"/>
    <w:rsid w:val="633D0276"/>
    <w:rsid w:val="63493B6B"/>
    <w:rsid w:val="635D7CD6"/>
    <w:rsid w:val="63785DBF"/>
    <w:rsid w:val="637B27DF"/>
    <w:rsid w:val="6395574C"/>
    <w:rsid w:val="63991B77"/>
    <w:rsid w:val="63A97D4E"/>
    <w:rsid w:val="63B347CE"/>
    <w:rsid w:val="63BC0B63"/>
    <w:rsid w:val="63BD45D3"/>
    <w:rsid w:val="63C72AC5"/>
    <w:rsid w:val="63CD09E7"/>
    <w:rsid w:val="63E612F3"/>
    <w:rsid w:val="63F510EF"/>
    <w:rsid w:val="63F947F7"/>
    <w:rsid w:val="63FB2B15"/>
    <w:rsid w:val="63FC47C4"/>
    <w:rsid w:val="64271EC0"/>
    <w:rsid w:val="643370CE"/>
    <w:rsid w:val="64383C09"/>
    <w:rsid w:val="64420F14"/>
    <w:rsid w:val="64523523"/>
    <w:rsid w:val="647204FF"/>
    <w:rsid w:val="6473769C"/>
    <w:rsid w:val="649C762D"/>
    <w:rsid w:val="64B11FD8"/>
    <w:rsid w:val="64C52D4A"/>
    <w:rsid w:val="64D57DD5"/>
    <w:rsid w:val="64D977F8"/>
    <w:rsid w:val="64EE4429"/>
    <w:rsid w:val="64FD4482"/>
    <w:rsid w:val="64FE2F24"/>
    <w:rsid w:val="65174A38"/>
    <w:rsid w:val="65327ADA"/>
    <w:rsid w:val="655910A4"/>
    <w:rsid w:val="65633D4D"/>
    <w:rsid w:val="656C0D11"/>
    <w:rsid w:val="657B568F"/>
    <w:rsid w:val="65A74275"/>
    <w:rsid w:val="65BC063C"/>
    <w:rsid w:val="65C91F8F"/>
    <w:rsid w:val="65ED7720"/>
    <w:rsid w:val="65FA7529"/>
    <w:rsid w:val="65FE2B0F"/>
    <w:rsid w:val="660718F0"/>
    <w:rsid w:val="662D30D2"/>
    <w:rsid w:val="664878C0"/>
    <w:rsid w:val="664E2FCB"/>
    <w:rsid w:val="66553A81"/>
    <w:rsid w:val="66692D3A"/>
    <w:rsid w:val="6669455D"/>
    <w:rsid w:val="669A6273"/>
    <w:rsid w:val="66AE3AED"/>
    <w:rsid w:val="66C80056"/>
    <w:rsid w:val="66C926B9"/>
    <w:rsid w:val="66F645EB"/>
    <w:rsid w:val="66FB2511"/>
    <w:rsid w:val="66FC59FD"/>
    <w:rsid w:val="670112A2"/>
    <w:rsid w:val="674E4B8C"/>
    <w:rsid w:val="67626640"/>
    <w:rsid w:val="67682987"/>
    <w:rsid w:val="67713939"/>
    <w:rsid w:val="677CAAC3"/>
    <w:rsid w:val="6791789D"/>
    <w:rsid w:val="67936C56"/>
    <w:rsid w:val="67E07F0B"/>
    <w:rsid w:val="67E42242"/>
    <w:rsid w:val="67E7740C"/>
    <w:rsid w:val="67FA5C23"/>
    <w:rsid w:val="67FF6EF5"/>
    <w:rsid w:val="68045EB2"/>
    <w:rsid w:val="68204F94"/>
    <w:rsid w:val="682C68F1"/>
    <w:rsid w:val="68332285"/>
    <w:rsid w:val="6839293C"/>
    <w:rsid w:val="68641A0B"/>
    <w:rsid w:val="68736231"/>
    <w:rsid w:val="689507F1"/>
    <w:rsid w:val="689D062F"/>
    <w:rsid w:val="68B824DE"/>
    <w:rsid w:val="68B92372"/>
    <w:rsid w:val="68B9631F"/>
    <w:rsid w:val="68CC5377"/>
    <w:rsid w:val="68D5400D"/>
    <w:rsid w:val="68E036F6"/>
    <w:rsid w:val="68E412F0"/>
    <w:rsid w:val="68EF2EBA"/>
    <w:rsid w:val="68F2310E"/>
    <w:rsid w:val="68F90487"/>
    <w:rsid w:val="690B6FBE"/>
    <w:rsid w:val="691D2203"/>
    <w:rsid w:val="69212E07"/>
    <w:rsid w:val="69235203"/>
    <w:rsid w:val="692F2540"/>
    <w:rsid w:val="69340157"/>
    <w:rsid w:val="69364388"/>
    <w:rsid w:val="694904F8"/>
    <w:rsid w:val="696C1726"/>
    <w:rsid w:val="697772C7"/>
    <w:rsid w:val="697F2666"/>
    <w:rsid w:val="69BB2588"/>
    <w:rsid w:val="69C2626D"/>
    <w:rsid w:val="69CA27AC"/>
    <w:rsid w:val="69D61214"/>
    <w:rsid w:val="69EF6872"/>
    <w:rsid w:val="69F24429"/>
    <w:rsid w:val="69FF22B2"/>
    <w:rsid w:val="6A220F1A"/>
    <w:rsid w:val="6A2278D5"/>
    <w:rsid w:val="6A516D7C"/>
    <w:rsid w:val="6A6010CD"/>
    <w:rsid w:val="6A601C99"/>
    <w:rsid w:val="6A6F5C1D"/>
    <w:rsid w:val="6A77E2A3"/>
    <w:rsid w:val="6A813EF6"/>
    <w:rsid w:val="6A873F2C"/>
    <w:rsid w:val="6A8C33DC"/>
    <w:rsid w:val="6A8C7584"/>
    <w:rsid w:val="6A8E5338"/>
    <w:rsid w:val="6AA53357"/>
    <w:rsid w:val="6AEF5FB9"/>
    <w:rsid w:val="6AF41B93"/>
    <w:rsid w:val="6AFB749D"/>
    <w:rsid w:val="6AFD1560"/>
    <w:rsid w:val="6AFDA71B"/>
    <w:rsid w:val="6B2025A1"/>
    <w:rsid w:val="6B30395A"/>
    <w:rsid w:val="6B375D75"/>
    <w:rsid w:val="6B4F3850"/>
    <w:rsid w:val="6B521A82"/>
    <w:rsid w:val="6B6023E2"/>
    <w:rsid w:val="6B781209"/>
    <w:rsid w:val="6B9873B4"/>
    <w:rsid w:val="6B9F022F"/>
    <w:rsid w:val="6BD13373"/>
    <w:rsid w:val="6BD822E6"/>
    <w:rsid w:val="6BE04743"/>
    <w:rsid w:val="6C0518CB"/>
    <w:rsid w:val="6C095EBA"/>
    <w:rsid w:val="6C133606"/>
    <w:rsid w:val="6C20048B"/>
    <w:rsid w:val="6C2F6647"/>
    <w:rsid w:val="6C474C68"/>
    <w:rsid w:val="6C5277C6"/>
    <w:rsid w:val="6C59538B"/>
    <w:rsid w:val="6C5D00FE"/>
    <w:rsid w:val="6C7553FD"/>
    <w:rsid w:val="6C807C14"/>
    <w:rsid w:val="6C837D0E"/>
    <w:rsid w:val="6C896F65"/>
    <w:rsid w:val="6C8D3A60"/>
    <w:rsid w:val="6C9E44E1"/>
    <w:rsid w:val="6CA200F0"/>
    <w:rsid w:val="6CAC40B1"/>
    <w:rsid w:val="6CB10BE4"/>
    <w:rsid w:val="6CCD2B14"/>
    <w:rsid w:val="6CD830DA"/>
    <w:rsid w:val="6CED75EC"/>
    <w:rsid w:val="6D084D85"/>
    <w:rsid w:val="6D0C2478"/>
    <w:rsid w:val="6D193D0C"/>
    <w:rsid w:val="6D1C698F"/>
    <w:rsid w:val="6D1E6BED"/>
    <w:rsid w:val="6D284A9A"/>
    <w:rsid w:val="6D3132FE"/>
    <w:rsid w:val="6D353C65"/>
    <w:rsid w:val="6D383DAE"/>
    <w:rsid w:val="6D441CFD"/>
    <w:rsid w:val="6D483225"/>
    <w:rsid w:val="6D8079E0"/>
    <w:rsid w:val="6D8444AB"/>
    <w:rsid w:val="6D87600E"/>
    <w:rsid w:val="6D9B29BD"/>
    <w:rsid w:val="6DA43F96"/>
    <w:rsid w:val="6DA47790"/>
    <w:rsid w:val="6DDE29B2"/>
    <w:rsid w:val="6E507874"/>
    <w:rsid w:val="6E523524"/>
    <w:rsid w:val="6E586590"/>
    <w:rsid w:val="6EAB5982"/>
    <w:rsid w:val="6EB07BF3"/>
    <w:rsid w:val="6EB73C11"/>
    <w:rsid w:val="6ECE131C"/>
    <w:rsid w:val="6EEA7083"/>
    <w:rsid w:val="6F0F2695"/>
    <w:rsid w:val="6F201808"/>
    <w:rsid w:val="6F2F616F"/>
    <w:rsid w:val="6F5621AF"/>
    <w:rsid w:val="6F6B325C"/>
    <w:rsid w:val="6F71720E"/>
    <w:rsid w:val="6F750A68"/>
    <w:rsid w:val="6F886A46"/>
    <w:rsid w:val="6FAF6932"/>
    <w:rsid w:val="6FFFF525"/>
    <w:rsid w:val="70097B13"/>
    <w:rsid w:val="700F19BA"/>
    <w:rsid w:val="70453445"/>
    <w:rsid w:val="706C48AB"/>
    <w:rsid w:val="707A3391"/>
    <w:rsid w:val="708A7E30"/>
    <w:rsid w:val="708F012F"/>
    <w:rsid w:val="70A20D5A"/>
    <w:rsid w:val="70B576B8"/>
    <w:rsid w:val="70C3128F"/>
    <w:rsid w:val="70C94448"/>
    <w:rsid w:val="70EE6DB0"/>
    <w:rsid w:val="710800A9"/>
    <w:rsid w:val="71085F34"/>
    <w:rsid w:val="711A08D7"/>
    <w:rsid w:val="71207E5B"/>
    <w:rsid w:val="71297DB9"/>
    <w:rsid w:val="71473530"/>
    <w:rsid w:val="7148243D"/>
    <w:rsid w:val="71624A3E"/>
    <w:rsid w:val="71660397"/>
    <w:rsid w:val="717649A4"/>
    <w:rsid w:val="71887D53"/>
    <w:rsid w:val="71B32CF8"/>
    <w:rsid w:val="71C0615A"/>
    <w:rsid w:val="71CB1EEC"/>
    <w:rsid w:val="71D7439E"/>
    <w:rsid w:val="71F52906"/>
    <w:rsid w:val="71FF6BF9"/>
    <w:rsid w:val="720B1F0E"/>
    <w:rsid w:val="721172F5"/>
    <w:rsid w:val="723FF4D2"/>
    <w:rsid w:val="725105EF"/>
    <w:rsid w:val="72513DA2"/>
    <w:rsid w:val="726866AA"/>
    <w:rsid w:val="7274070C"/>
    <w:rsid w:val="727A2668"/>
    <w:rsid w:val="727B5C0A"/>
    <w:rsid w:val="729E0868"/>
    <w:rsid w:val="72C43F80"/>
    <w:rsid w:val="72F41D22"/>
    <w:rsid w:val="72FA2A34"/>
    <w:rsid w:val="732775E5"/>
    <w:rsid w:val="732B58B1"/>
    <w:rsid w:val="73593061"/>
    <w:rsid w:val="736E0E6D"/>
    <w:rsid w:val="737227BE"/>
    <w:rsid w:val="737859DD"/>
    <w:rsid w:val="737BB7B3"/>
    <w:rsid w:val="73A4006F"/>
    <w:rsid w:val="73BC23E0"/>
    <w:rsid w:val="73F25B46"/>
    <w:rsid w:val="73F676A0"/>
    <w:rsid w:val="73FC2F5C"/>
    <w:rsid w:val="740500E7"/>
    <w:rsid w:val="742B11F7"/>
    <w:rsid w:val="74360E8D"/>
    <w:rsid w:val="744472BF"/>
    <w:rsid w:val="744D3227"/>
    <w:rsid w:val="74543DFC"/>
    <w:rsid w:val="746D3FEA"/>
    <w:rsid w:val="74805CB8"/>
    <w:rsid w:val="74896224"/>
    <w:rsid w:val="748D7B7D"/>
    <w:rsid w:val="74A1086E"/>
    <w:rsid w:val="74A643ED"/>
    <w:rsid w:val="74AB753B"/>
    <w:rsid w:val="74AE57C7"/>
    <w:rsid w:val="74DB759E"/>
    <w:rsid w:val="74ED0A4C"/>
    <w:rsid w:val="74F32838"/>
    <w:rsid w:val="75070F8F"/>
    <w:rsid w:val="75116CCF"/>
    <w:rsid w:val="75191385"/>
    <w:rsid w:val="751F1F60"/>
    <w:rsid w:val="75313A8E"/>
    <w:rsid w:val="75543361"/>
    <w:rsid w:val="75601AE5"/>
    <w:rsid w:val="756A5A07"/>
    <w:rsid w:val="75741664"/>
    <w:rsid w:val="757B72E5"/>
    <w:rsid w:val="757F1DA3"/>
    <w:rsid w:val="75AF3999"/>
    <w:rsid w:val="75BB6CA9"/>
    <w:rsid w:val="75BD7438"/>
    <w:rsid w:val="75C361A7"/>
    <w:rsid w:val="75D073B5"/>
    <w:rsid w:val="75DF1239"/>
    <w:rsid w:val="75E814AC"/>
    <w:rsid w:val="75F125AB"/>
    <w:rsid w:val="7623126D"/>
    <w:rsid w:val="764518C5"/>
    <w:rsid w:val="76485B61"/>
    <w:rsid w:val="76570D73"/>
    <w:rsid w:val="76583518"/>
    <w:rsid w:val="768203BB"/>
    <w:rsid w:val="76891058"/>
    <w:rsid w:val="768A6649"/>
    <w:rsid w:val="76A40586"/>
    <w:rsid w:val="76AE6414"/>
    <w:rsid w:val="76B81D8A"/>
    <w:rsid w:val="76CB685A"/>
    <w:rsid w:val="76E17F28"/>
    <w:rsid w:val="76E53505"/>
    <w:rsid w:val="770B501F"/>
    <w:rsid w:val="771062E6"/>
    <w:rsid w:val="77125324"/>
    <w:rsid w:val="773408C7"/>
    <w:rsid w:val="77526D4C"/>
    <w:rsid w:val="77692CFC"/>
    <w:rsid w:val="776E3858"/>
    <w:rsid w:val="777647D4"/>
    <w:rsid w:val="7786203C"/>
    <w:rsid w:val="77877D29"/>
    <w:rsid w:val="778E79A8"/>
    <w:rsid w:val="77992387"/>
    <w:rsid w:val="77BE43C0"/>
    <w:rsid w:val="77C02BDD"/>
    <w:rsid w:val="77D830BF"/>
    <w:rsid w:val="77E62695"/>
    <w:rsid w:val="77FF6031"/>
    <w:rsid w:val="781D365A"/>
    <w:rsid w:val="78245A06"/>
    <w:rsid w:val="782D1721"/>
    <w:rsid w:val="783F2F01"/>
    <w:rsid w:val="78401BA8"/>
    <w:rsid w:val="78575D66"/>
    <w:rsid w:val="785D215C"/>
    <w:rsid w:val="78713E9E"/>
    <w:rsid w:val="7881214D"/>
    <w:rsid w:val="78A82687"/>
    <w:rsid w:val="78AD21EF"/>
    <w:rsid w:val="78CB1EE8"/>
    <w:rsid w:val="78F73018"/>
    <w:rsid w:val="78FB6F1F"/>
    <w:rsid w:val="78FEA54B"/>
    <w:rsid w:val="792D41C1"/>
    <w:rsid w:val="7941255C"/>
    <w:rsid w:val="79497F22"/>
    <w:rsid w:val="795310F0"/>
    <w:rsid w:val="796A4F8C"/>
    <w:rsid w:val="799257FF"/>
    <w:rsid w:val="79B315B7"/>
    <w:rsid w:val="79DE1ACD"/>
    <w:rsid w:val="79E92623"/>
    <w:rsid w:val="7A321681"/>
    <w:rsid w:val="7A376A29"/>
    <w:rsid w:val="7A3C5F5A"/>
    <w:rsid w:val="7A680678"/>
    <w:rsid w:val="7A6F4206"/>
    <w:rsid w:val="7A736FDD"/>
    <w:rsid w:val="7A7FFCC2"/>
    <w:rsid w:val="7AA652A8"/>
    <w:rsid w:val="7AAF380F"/>
    <w:rsid w:val="7AB15629"/>
    <w:rsid w:val="7ADF9F8E"/>
    <w:rsid w:val="7AE077B0"/>
    <w:rsid w:val="7AE2356F"/>
    <w:rsid w:val="7AF374C7"/>
    <w:rsid w:val="7AF9272C"/>
    <w:rsid w:val="7AFF5E71"/>
    <w:rsid w:val="7B110447"/>
    <w:rsid w:val="7B242D44"/>
    <w:rsid w:val="7B255D33"/>
    <w:rsid w:val="7B6B0909"/>
    <w:rsid w:val="7B7044BF"/>
    <w:rsid w:val="7B7748D4"/>
    <w:rsid w:val="7B7FEBB7"/>
    <w:rsid w:val="7B824351"/>
    <w:rsid w:val="7B867796"/>
    <w:rsid w:val="7B9E11C6"/>
    <w:rsid w:val="7BA69FE9"/>
    <w:rsid w:val="7BC7202A"/>
    <w:rsid w:val="7BCE2CB0"/>
    <w:rsid w:val="7BDF29F5"/>
    <w:rsid w:val="7BE45612"/>
    <w:rsid w:val="7BE70BE6"/>
    <w:rsid w:val="7BEA02BE"/>
    <w:rsid w:val="7C1B3E27"/>
    <w:rsid w:val="7C274CEA"/>
    <w:rsid w:val="7C660D7C"/>
    <w:rsid w:val="7C74539B"/>
    <w:rsid w:val="7C7BBB4F"/>
    <w:rsid w:val="7C880DA0"/>
    <w:rsid w:val="7C907E40"/>
    <w:rsid w:val="7C9731ED"/>
    <w:rsid w:val="7C9763BC"/>
    <w:rsid w:val="7CBA57B5"/>
    <w:rsid w:val="7CE0653B"/>
    <w:rsid w:val="7CE95FE4"/>
    <w:rsid w:val="7CEF99EF"/>
    <w:rsid w:val="7CF447D4"/>
    <w:rsid w:val="7D090D84"/>
    <w:rsid w:val="7D262535"/>
    <w:rsid w:val="7D67780A"/>
    <w:rsid w:val="7D6903CE"/>
    <w:rsid w:val="7DAA544F"/>
    <w:rsid w:val="7DAC20BF"/>
    <w:rsid w:val="7DB60F69"/>
    <w:rsid w:val="7DB7F567"/>
    <w:rsid w:val="7DC64886"/>
    <w:rsid w:val="7DDF7298"/>
    <w:rsid w:val="7DFED8E2"/>
    <w:rsid w:val="7E0427CB"/>
    <w:rsid w:val="7E0806ED"/>
    <w:rsid w:val="7E080BB0"/>
    <w:rsid w:val="7E161D34"/>
    <w:rsid w:val="7E1F5B5A"/>
    <w:rsid w:val="7E2929E7"/>
    <w:rsid w:val="7E41222F"/>
    <w:rsid w:val="7E4A376D"/>
    <w:rsid w:val="7E617E0B"/>
    <w:rsid w:val="7E652E45"/>
    <w:rsid w:val="7E696720"/>
    <w:rsid w:val="7E890181"/>
    <w:rsid w:val="7EBF828A"/>
    <w:rsid w:val="7EDF15D7"/>
    <w:rsid w:val="7EF30B0A"/>
    <w:rsid w:val="7EFF1F33"/>
    <w:rsid w:val="7F0810B5"/>
    <w:rsid w:val="7F1D37CD"/>
    <w:rsid w:val="7F257CB4"/>
    <w:rsid w:val="7F2FED6D"/>
    <w:rsid w:val="7F3611E6"/>
    <w:rsid w:val="7F3B3BA9"/>
    <w:rsid w:val="7F5B2AD5"/>
    <w:rsid w:val="7F5BDE75"/>
    <w:rsid w:val="7F5FE9C6"/>
    <w:rsid w:val="7F5FFDF3"/>
    <w:rsid w:val="7F747EF1"/>
    <w:rsid w:val="7F873225"/>
    <w:rsid w:val="7F8C3601"/>
    <w:rsid w:val="7F963FB2"/>
    <w:rsid w:val="7FB37F20"/>
    <w:rsid w:val="7FB66B3A"/>
    <w:rsid w:val="7FBBF0C8"/>
    <w:rsid w:val="7FBD0BC1"/>
    <w:rsid w:val="7FCA3993"/>
    <w:rsid w:val="7FCD563A"/>
    <w:rsid w:val="7FD7E055"/>
    <w:rsid w:val="7FDB0C29"/>
    <w:rsid w:val="7FDBD2EE"/>
    <w:rsid w:val="7FE3591E"/>
    <w:rsid w:val="7FF77E43"/>
    <w:rsid w:val="7FFBB6FC"/>
    <w:rsid w:val="7FFBEE1A"/>
    <w:rsid w:val="7FFDD906"/>
    <w:rsid w:val="7FFFD35D"/>
    <w:rsid w:val="8DDC0BF7"/>
    <w:rsid w:val="9B7D1290"/>
    <w:rsid w:val="9B8F9C69"/>
    <w:rsid w:val="9E7F91E6"/>
    <w:rsid w:val="A67F0AF2"/>
    <w:rsid w:val="A8E7647E"/>
    <w:rsid w:val="AF32CDDE"/>
    <w:rsid w:val="AF35E7C6"/>
    <w:rsid w:val="AFFF0A3B"/>
    <w:rsid w:val="AFFF9962"/>
    <w:rsid w:val="AFFFA6EC"/>
    <w:rsid w:val="B7BD1D56"/>
    <w:rsid w:val="B7D70538"/>
    <w:rsid w:val="BA3FFE80"/>
    <w:rsid w:val="BBF58EF8"/>
    <w:rsid w:val="BEFD4D42"/>
    <w:rsid w:val="BF7F7EDE"/>
    <w:rsid w:val="BFE962E1"/>
    <w:rsid w:val="BFEB577C"/>
    <w:rsid w:val="BFFE4CF2"/>
    <w:rsid w:val="CEE74DE2"/>
    <w:rsid w:val="CEF41B12"/>
    <w:rsid w:val="CF7BD979"/>
    <w:rsid w:val="CFDE7C5D"/>
    <w:rsid w:val="D3EC9D2C"/>
    <w:rsid w:val="D9E3A48F"/>
    <w:rsid w:val="DBEFBDBD"/>
    <w:rsid w:val="DBFF7F4F"/>
    <w:rsid w:val="DD4910D7"/>
    <w:rsid w:val="DDB554F8"/>
    <w:rsid w:val="DE970B64"/>
    <w:rsid w:val="DFFF2D67"/>
    <w:rsid w:val="DFFF3165"/>
    <w:rsid w:val="E6F788F0"/>
    <w:rsid w:val="E7B523FD"/>
    <w:rsid w:val="EAF91E8C"/>
    <w:rsid w:val="EB3FFDF3"/>
    <w:rsid w:val="EDC782C3"/>
    <w:rsid w:val="EF9B141B"/>
    <w:rsid w:val="EFDE4549"/>
    <w:rsid w:val="EFE78379"/>
    <w:rsid w:val="EFF187C1"/>
    <w:rsid w:val="EFF627FB"/>
    <w:rsid w:val="EFF79519"/>
    <w:rsid w:val="F4BFC609"/>
    <w:rsid w:val="F4EBE3F5"/>
    <w:rsid w:val="F73D5C35"/>
    <w:rsid w:val="F73F3FE9"/>
    <w:rsid w:val="F7BBB6FA"/>
    <w:rsid w:val="F7BE90D4"/>
    <w:rsid w:val="FAF7B3E2"/>
    <w:rsid w:val="FAFF9233"/>
    <w:rsid w:val="FB729004"/>
    <w:rsid w:val="FBFDB776"/>
    <w:rsid w:val="FDED9A40"/>
    <w:rsid w:val="FDF2AC5E"/>
    <w:rsid w:val="FDF7BF68"/>
    <w:rsid w:val="FE7FDD7F"/>
    <w:rsid w:val="FEEBCD91"/>
    <w:rsid w:val="FEEE086E"/>
    <w:rsid w:val="FEF1E1DA"/>
    <w:rsid w:val="FEF3DF41"/>
    <w:rsid w:val="FEFB07F3"/>
    <w:rsid w:val="FEFBABA7"/>
    <w:rsid w:val="FEFBD5DC"/>
    <w:rsid w:val="FEFCD4D8"/>
    <w:rsid w:val="FF31EAD9"/>
    <w:rsid w:val="FF6B767C"/>
    <w:rsid w:val="FF7FF9AF"/>
    <w:rsid w:val="FFBD1041"/>
    <w:rsid w:val="FFC6E58C"/>
    <w:rsid w:val="FFC7D0F1"/>
    <w:rsid w:val="FFEF6E55"/>
    <w:rsid w:val="FFF7C4E5"/>
    <w:rsid w:val="FFFC74F9"/>
    <w:rsid w:val="FFFF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4"/>
      <w:szCs w:val="21"/>
      <w:lang w:val="en-US" w:eastAsia="zh-CN" w:bidi="ar-SA"/>
    </w:rPr>
  </w:style>
  <w:style w:type="paragraph" w:styleId="3">
    <w:name w:val="heading 1"/>
    <w:basedOn w:val="1"/>
    <w:next w:val="1"/>
    <w:link w:val="50"/>
    <w:qFormat/>
    <w:uiPriority w:val="99"/>
    <w:pPr>
      <w:keepNext/>
      <w:keepLines/>
      <w:spacing w:before="340" w:after="330" w:line="576" w:lineRule="auto"/>
      <w:outlineLvl w:val="0"/>
    </w:pPr>
    <w:rPr>
      <w:b/>
      <w:bCs/>
      <w:kern w:val="44"/>
      <w:sz w:val="44"/>
      <w:szCs w:val="44"/>
    </w:rPr>
  </w:style>
  <w:style w:type="paragraph" w:styleId="4">
    <w:name w:val="heading 2"/>
    <w:basedOn w:val="1"/>
    <w:next w:val="5"/>
    <w:link w:val="51"/>
    <w:qFormat/>
    <w:uiPriority w:val="99"/>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unhideWhenUsed/>
    <w:qFormat/>
    <w:uiPriority w:val="9"/>
    <w:pPr>
      <w:keepNext/>
      <w:keepLines/>
      <w:spacing w:before="260" w:after="260" w:line="413" w:lineRule="auto"/>
      <w:outlineLvl w:val="2"/>
    </w:pPr>
    <w:rPr>
      <w:b/>
      <w:sz w:val="32"/>
    </w:rPr>
  </w:style>
  <w:style w:type="paragraph" w:styleId="7">
    <w:name w:val="heading 5"/>
    <w:basedOn w:val="1"/>
    <w:next w:val="1"/>
    <w:qFormat/>
    <w:uiPriority w:val="0"/>
    <w:pPr>
      <w:widowControl/>
      <w:numPr>
        <w:ilvl w:val="4"/>
        <w:numId w:val="1"/>
      </w:numPr>
      <w:spacing w:before="240" w:after="60"/>
      <w:outlineLvl w:val="4"/>
    </w:pPr>
    <w:rPr>
      <w:b/>
      <w:bCs/>
      <w:iCs/>
      <w:szCs w:val="26"/>
      <w:lang w:val="en-GB"/>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styleId="5">
    <w:name w:val="Normal Indent"/>
    <w:basedOn w:val="1"/>
    <w:link w:val="117"/>
    <w:qFormat/>
    <w:uiPriority w:val="0"/>
    <w:pPr>
      <w:ind w:firstLine="420" w:firstLineChars="200"/>
    </w:pPr>
  </w:style>
  <w:style w:type="paragraph" w:styleId="8">
    <w:name w:val="toc 7"/>
    <w:basedOn w:val="1"/>
    <w:next w:val="1"/>
    <w:unhideWhenUsed/>
    <w:qFormat/>
    <w:uiPriority w:val="39"/>
    <w:pPr>
      <w:ind w:left="2520" w:leftChars="1200"/>
    </w:pPr>
    <w:rPr>
      <w:rFonts w:asciiTheme="minorHAnsi" w:hAnsiTheme="minorHAnsi" w:eastAsiaTheme="minorEastAsia" w:cstheme="minorBidi"/>
      <w:sz w:val="21"/>
      <w:szCs w:val="22"/>
    </w:rPr>
  </w:style>
  <w:style w:type="paragraph" w:styleId="9">
    <w:name w:val="annotation text"/>
    <w:basedOn w:val="1"/>
    <w:link w:val="54"/>
    <w:unhideWhenUsed/>
    <w:qFormat/>
    <w:uiPriority w:val="99"/>
    <w:pPr>
      <w:jc w:val="left"/>
    </w:pPr>
  </w:style>
  <w:style w:type="paragraph" w:styleId="10">
    <w:name w:val="Body Text"/>
    <w:basedOn w:val="1"/>
    <w:unhideWhenUsed/>
    <w:qFormat/>
    <w:uiPriority w:val="99"/>
    <w:pPr>
      <w:spacing w:after="120"/>
    </w:pPr>
  </w:style>
  <w:style w:type="paragraph" w:styleId="11">
    <w:name w:val="Body Text Indent"/>
    <w:basedOn w:val="1"/>
    <w:next w:val="12"/>
    <w:link w:val="53"/>
    <w:unhideWhenUsed/>
    <w:qFormat/>
    <w:uiPriority w:val="99"/>
    <w:pPr>
      <w:ind w:firstLine="795"/>
    </w:pPr>
    <w:rPr>
      <w:sz w:val="32"/>
      <w:szCs w:val="32"/>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unhideWhenUsed/>
    <w:qFormat/>
    <w:uiPriority w:val="39"/>
    <w:pPr>
      <w:ind w:left="1680" w:leftChars="800"/>
    </w:pPr>
    <w:rPr>
      <w:rFonts w:asciiTheme="minorHAnsi" w:hAnsiTheme="minorHAnsi" w:eastAsiaTheme="minorEastAsia" w:cstheme="minorBidi"/>
      <w:sz w:val="21"/>
      <w:szCs w:val="22"/>
    </w:rPr>
  </w:style>
  <w:style w:type="paragraph" w:styleId="14">
    <w:name w:val="toc 3"/>
    <w:basedOn w:val="1"/>
    <w:next w:val="1"/>
    <w:unhideWhenUsed/>
    <w:qFormat/>
    <w:uiPriority w:val="39"/>
    <w:pPr>
      <w:ind w:left="840" w:leftChars="400"/>
    </w:pPr>
  </w:style>
  <w:style w:type="paragraph" w:styleId="15">
    <w:name w:val="Plain Text"/>
    <w:basedOn w:val="1"/>
    <w:link w:val="55"/>
    <w:unhideWhenUsed/>
    <w:qFormat/>
    <w:uiPriority w:val="0"/>
    <w:rPr>
      <w:rFonts w:ascii="宋体" w:hAnsi="Courier New" w:cs="宋体"/>
    </w:rPr>
  </w:style>
  <w:style w:type="paragraph" w:styleId="16">
    <w:name w:val="toc 8"/>
    <w:basedOn w:val="1"/>
    <w:next w:val="1"/>
    <w:unhideWhenUsed/>
    <w:qFormat/>
    <w:uiPriority w:val="39"/>
    <w:pPr>
      <w:ind w:left="2940" w:leftChars="1400"/>
    </w:pPr>
    <w:rPr>
      <w:rFonts w:asciiTheme="minorHAnsi" w:hAnsiTheme="minorHAnsi" w:eastAsiaTheme="minorEastAsia" w:cstheme="minorBidi"/>
      <w:sz w:val="21"/>
      <w:szCs w:val="22"/>
    </w:rPr>
  </w:style>
  <w:style w:type="paragraph" w:styleId="17">
    <w:name w:val="Body Text Indent 2"/>
    <w:basedOn w:val="1"/>
    <w:qFormat/>
    <w:uiPriority w:val="0"/>
    <w:pPr>
      <w:ind w:left="105" w:firstLine="690"/>
    </w:pPr>
    <w:rPr>
      <w:sz w:val="32"/>
    </w:rPr>
  </w:style>
  <w:style w:type="paragraph" w:styleId="18">
    <w:name w:val="Balloon Text"/>
    <w:basedOn w:val="1"/>
    <w:link w:val="64"/>
    <w:unhideWhenUsed/>
    <w:qFormat/>
    <w:uiPriority w:val="99"/>
    <w:rPr>
      <w:sz w:val="18"/>
      <w:szCs w:val="18"/>
    </w:rPr>
  </w:style>
  <w:style w:type="paragraph" w:styleId="19">
    <w:name w:val="footer"/>
    <w:basedOn w:val="1"/>
    <w:link w:val="56"/>
    <w:unhideWhenUsed/>
    <w:qFormat/>
    <w:uiPriority w:val="99"/>
    <w:pPr>
      <w:snapToGrid w:val="0"/>
      <w:jc w:val="left"/>
    </w:pPr>
    <w:rPr>
      <w:sz w:val="18"/>
      <w:szCs w:val="18"/>
    </w:rPr>
  </w:style>
  <w:style w:type="paragraph" w:styleId="20">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rPr>
      <w:rFonts w:asciiTheme="minorHAnsi" w:hAnsiTheme="minorHAnsi" w:eastAsiaTheme="minorEastAsia" w:cstheme="minorBidi"/>
      <w:sz w:val="21"/>
      <w:szCs w:val="22"/>
    </w:rPr>
  </w:style>
  <w:style w:type="paragraph" w:styleId="23">
    <w:name w:val="footnote text"/>
    <w:basedOn w:val="1"/>
    <w:link w:val="57"/>
    <w:unhideWhenUsed/>
    <w:qFormat/>
    <w:uiPriority w:val="99"/>
    <w:pPr>
      <w:snapToGrid w:val="0"/>
      <w:jc w:val="left"/>
    </w:pPr>
    <w:rPr>
      <w:sz w:val="18"/>
      <w:szCs w:val="18"/>
    </w:rPr>
  </w:style>
  <w:style w:type="paragraph" w:styleId="24">
    <w:name w:val="toc 6"/>
    <w:basedOn w:val="1"/>
    <w:next w:val="1"/>
    <w:unhideWhenUsed/>
    <w:qFormat/>
    <w:uiPriority w:val="39"/>
    <w:pPr>
      <w:ind w:left="2100" w:leftChars="1000"/>
    </w:pPr>
    <w:rPr>
      <w:rFonts w:asciiTheme="minorHAnsi" w:hAnsiTheme="minorHAnsi" w:eastAsiaTheme="minorEastAsia" w:cstheme="minorBidi"/>
      <w:sz w:val="21"/>
      <w:szCs w:val="22"/>
    </w:r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rPr>
      <w:rFonts w:asciiTheme="minorHAnsi" w:hAnsiTheme="minorHAnsi" w:eastAsiaTheme="minorEastAsia" w:cstheme="minorBidi"/>
      <w:sz w:val="21"/>
      <w:szCs w:val="22"/>
    </w:rPr>
  </w:style>
  <w:style w:type="paragraph" w:styleId="27">
    <w:name w:val="Body Text 2"/>
    <w:basedOn w:val="1"/>
    <w:unhideWhenUsed/>
    <w:qFormat/>
    <w:uiPriority w:val="99"/>
    <w:pPr>
      <w:jc w:val="left"/>
    </w:pPr>
    <w:rPr>
      <w:rFonts w:ascii="仿宋_GB2312" w:hAnsi="宋体"/>
    </w:rPr>
  </w:style>
  <w:style w:type="paragraph" w:styleId="28">
    <w:name w:val="Normal (Web)"/>
    <w:basedOn w:val="1"/>
    <w:unhideWhenUsed/>
    <w:qFormat/>
    <w:uiPriority w:val="99"/>
    <w:pPr>
      <w:spacing w:beforeAutospacing="1" w:afterAutospacing="1"/>
      <w:jc w:val="left"/>
    </w:pPr>
    <w:rPr>
      <w:kern w:val="0"/>
    </w:rPr>
  </w:style>
  <w:style w:type="paragraph" w:styleId="29">
    <w:name w:val="Title"/>
    <w:basedOn w:val="1"/>
    <w:qFormat/>
    <w:uiPriority w:val="10"/>
    <w:pPr>
      <w:spacing w:before="240" w:after="60"/>
      <w:jc w:val="center"/>
      <w:outlineLvl w:val="0"/>
    </w:pPr>
    <w:rPr>
      <w:rFonts w:ascii="Arial" w:hAnsi="Arial"/>
      <w:b/>
      <w:sz w:val="32"/>
    </w:rPr>
  </w:style>
  <w:style w:type="paragraph" w:styleId="30">
    <w:name w:val="annotation subject"/>
    <w:basedOn w:val="9"/>
    <w:next w:val="9"/>
    <w:link w:val="63"/>
    <w:unhideWhenUsed/>
    <w:qFormat/>
    <w:uiPriority w:val="99"/>
    <w:rPr>
      <w:b/>
      <w:bCs/>
    </w:rPr>
  </w:style>
  <w:style w:type="paragraph" w:styleId="31">
    <w:name w:val="Body Text First Indent"/>
    <w:basedOn w:val="10"/>
    <w:unhideWhenUsed/>
    <w:qFormat/>
    <w:uiPriority w:val="99"/>
    <w:pPr>
      <w:ind w:firstLine="420" w:firstLineChars="100"/>
    </w:pPr>
  </w:style>
  <w:style w:type="paragraph" w:styleId="32">
    <w:name w:val="Body Text First Indent 2"/>
    <w:basedOn w:val="11"/>
    <w:unhideWhenUsed/>
    <w:qFormat/>
    <w:uiPriority w:val="99"/>
    <w:pPr>
      <w:spacing w:after="120"/>
      <w:ind w:left="420" w:leftChars="200"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style>
  <w:style w:type="character" w:styleId="37">
    <w:name w:val="page number"/>
    <w:basedOn w:val="35"/>
    <w:qFormat/>
    <w:uiPriority w:val="0"/>
  </w:style>
  <w:style w:type="character" w:styleId="38">
    <w:name w:val="FollowedHyperlink"/>
    <w:basedOn w:val="35"/>
    <w:unhideWhenUsed/>
    <w:qFormat/>
    <w:uiPriority w:val="99"/>
    <w:rPr>
      <w:color w:val="FF6400"/>
      <w:u w:val="single"/>
    </w:rPr>
  </w:style>
  <w:style w:type="character" w:styleId="39">
    <w:name w:val="Emphasis"/>
    <w:basedOn w:val="35"/>
    <w:qFormat/>
    <w:uiPriority w:val="20"/>
  </w:style>
  <w:style w:type="character" w:styleId="40">
    <w:name w:val="HTML Definition"/>
    <w:basedOn w:val="35"/>
    <w:unhideWhenUsed/>
    <w:qFormat/>
    <w:uiPriority w:val="99"/>
  </w:style>
  <w:style w:type="character" w:styleId="41">
    <w:name w:val="HTML Acronym"/>
    <w:basedOn w:val="35"/>
    <w:unhideWhenUsed/>
    <w:qFormat/>
    <w:uiPriority w:val="99"/>
    <w:rPr>
      <w:bdr w:val="single" w:color="FF9966" w:sz="2" w:space="0"/>
    </w:rPr>
  </w:style>
  <w:style w:type="character" w:styleId="42">
    <w:name w:val="HTML Variable"/>
    <w:basedOn w:val="35"/>
    <w:unhideWhenUsed/>
    <w:qFormat/>
    <w:uiPriority w:val="99"/>
  </w:style>
  <w:style w:type="character" w:styleId="43">
    <w:name w:val="Hyperlink"/>
    <w:basedOn w:val="35"/>
    <w:unhideWhenUsed/>
    <w:qFormat/>
    <w:uiPriority w:val="99"/>
    <w:rPr>
      <w:color w:val="FF6400"/>
      <w:u w:val="single"/>
    </w:rPr>
  </w:style>
  <w:style w:type="character" w:styleId="44">
    <w:name w:val="HTML Code"/>
    <w:basedOn w:val="35"/>
    <w:unhideWhenUsed/>
    <w:qFormat/>
    <w:uiPriority w:val="99"/>
    <w:rPr>
      <w:rFonts w:ascii="微软雅黑" w:hAnsi="微软雅黑" w:eastAsia="微软雅黑" w:cs="微软雅黑"/>
      <w:color w:val="000000"/>
      <w:sz w:val="20"/>
      <w:szCs w:val="20"/>
    </w:rPr>
  </w:style>
  <w:style w:type="character" w:styleId="45">
    <w:name w:val="annotation reference"/>
    <w:basedOn w:val="35"/>
    <w:unhideWhenUsed/>
    <w:qFormat/>
    <w:uiPriority w:val="99"/>
    <w:rPr>
      <w:sz w:val="21"/>
      <w:szCs w:val="21"/>
    </w:rPr>
  </w:style>
  <w:style w:type="character" w:styleId="46">
    <w:name w:val="HTML Cite"/>
    <w:basedOn w:val="35"/>
    <w:unhideWhenUsed/>
    <w:qFormat/>
    <w:uiPriority w:val="99"/>
  </w:style>
  <w:style w:type="character" w:styleId="47">
    <w:name w:val="footnote reference"/>
    <w:qFormat/>
    <w:uiPriority w:val="0"/>
    <w:rPr>
      <w:vertAlign w:val="superscript"/>
    </w:rPr>
  </w:style>
  <w:style w:type="paragraph" w:customStyle="1" w:styleId="48">
    <w:name w:val="标题 Char Char"/>
    <w:basedOn w:val="1"/>
    <w:qFormat/>
    <w:uiPriority w:val="0"/>
    <w:pPr>
      <w:jc w:val="center"/>
      <w:outlineLvl w:val="0"/>
    </w:pPr>
    <w:rPr>
      <w:rFonts w:ascii="Arial" w:hAnsi="Arial"/>
      <w:b/>
      <w:bCs/>
    </w:rPr>
  </w:style>
  <w:style w:type="paragraph" w:customStyle="1" w:styleId="49">
    <w:name w:val="AONormal"/>
    <w:qFormat/>
    <w:uiPriority w:val="0"/>
    <w:pPr>
      <w:spacing w:line="260" w:lineRule="atLeast"/>
    </w:pPr>
    <w:rPr>
      <w:rFonts w:ascii="Times New Roman" w:hAnsi="Times New Roman" w:eastAsia="宋体" w:cs="Times New Roman"/>
      <w:sz w:val="22"/>
      <w:szCs w:val="22"/>
      <w:lang w:val="en-GB" w:eastAsia="en-US" w:bidi="ar-SA"/>
    </w:rPr>
  </w:style>
  <w:style w:type="character" w:customStyle="1" w:styleId="50">
    <w:name w:val="标题 1 Char"/>
    <w:basedOn w:val="35"/>
    <w:link w:val="3"/>
    <w:qFormat/>
    <w:uiPriority w:val="99"/>
    <w:rPr>
      <w:rFonts w:ascii="Times New Roman" w:hAnsi="Times New Roman" w:eastAsia="宋体" w:cs="Times New Roman"/>
      <w:b/>
      <w:bCs/>
      <w:kern w:val="44"/>
      <w:sz w:val="44"/>
      <w:szCs w:val="44"/>
    </w:rPr>
  </w:style>
  <w:style w:type="character" w:customStyle="1" w:styleId="51">
    <w:name w:val="标题 2 Char"/>
    <w:basedOn w:val="35"/>
    <w:link w:val="4"/>
    <w:qFormat/>
    <w:uiPriority w:val="99"/>
    <w:rPr>
      <w:rFonts w:ascii="Arial" w:hAnsi="Arial" w:eastAsia="黑体" w:cs="Arial"/>
      <w:b/>
      <w:bCs/>
      <w:sz w:val="32"/>
      <w:szCs w:val="32"/>
    </w:rPr>
  </w:style>
  <w:style w:type="paragraph" w:customStyle="1" w:styleId="52">
    <w:name w:val="msonormal"/>
    <w:basedOn w:val="1"/>
    <w:qFormat/>
    <w:uiPriority w:val="0"/>
    <w:pPr>
      <w:widowControl/>
      <w:spacing w:before="100" w:beforeAutospacing="1" w:after="100" w:afterAutospacing="1"/>
      <w:jc w:val="left"/>
    </w:pPr>
    <w:rPr>
      <w:rFonts w:ascii="宋体" w:hAnsi="宋体" w:cs="宋体"/>
      <w:kern w:val="0"/>
      <w:szCs w:val="24"/>
    </w:rPr>
  </w:style>
  <w:style w:type="character" w:customStyle="1" w:styleId="53">
    <w:name w:val="正文文本缩进 Char"/>
    <w:basedOn w:val="35"/>
    <w:link w:val="11"/>
    <w:qFormat/>
    <w:uiPriority w:val="99"/>
    <w:rPr>
      <w:rFonts w:ascii="Times New Roman" w:hAnsi="Times New Roman" w:eastAsia="宋体" w:cs="Times New Roman"/>
      <w:sz w:val="32"/>
      <w:szCs w:val="32"/>
    </w:rPr>
  </w:style>
  <w:style w:type="character" w:customStyle="1" w:styleId="54">
    <w:name w:val="批注文字 Char"/>
    <w:basedOn w:val="35"/>
    <w:link w:val="9"/>
    <w:qFormat/>
    <w:uiPriority w:val="99"/>
    <w:rPr>
      <w:rFonts w:ascii="Times New Roman" w:hAnsi="Times New Roman" w:eastAsia="宋体" w:cs="Times New Roman"/>
      <w:szCs w:val="21"/>
    </w:rPr>
  </w:style>
  <w:style w:type="character" w:customStyle="1" w:styleId="55">
    <w:name w:val="纯文本 Char"/>
    <w:basedOn w:val="35"/>
    <w:link w:val="15"/>
    <w:qFormat/>
    <w:uiPriority w:val="99"/>
    <w:rPr>
      <w:rFonts w:ascii="宋体" w:hAnsi="Courier New" w:eastAsia="宋体" w:cs="宋体"/>
      <w:szCs w:val="21"/>
    </w:rPr>
  </w:style>
  <w:style w:type="character" w:customStyle="1" w:styleId="56">
    <w:name w:val="页脚 Char"/>
    <w:basedOn w:val="35"/>
    <w:link w:val="19"/>
    <w:qFormat/>
    <w:uiPriority w:val="99"/>
    <w:rPr>
      <w:rFonts w:ascii="Times New Roman" w:hAnsi="Times New Roman" w:eastAsia="宋体" w:cs="Times New Roman"/>
      <w:sz w:val="18"/>
      <w:szCs w:val="18"/>
    </w:rPr>
  </w:style>
  <w:style w:type="character" w:customStyle="1" w:styleId="57">
    <w:name w:val="脚注文本 Char"/>
    <w:basedOn w:val="35"/>
    <w:link w:val="23"/>
    <w:semiHidden/>
    <w:qFormat/>
    <w:uiPriority w:val="99"/>
    <w:rPr>
      <w:rFonts w:ascii="Times New Roman" w:hAnsi="Times New Roman" w:eastAsia="宋体" w:cs="Times New Roman"/>
      <w:sz w:val="18"/>
      <w:szCs w:val="18"/>
    </w:rPr>
  </w:style>
  <w:style w:type="character" w:customStyle="1" w:styleId="58">
    <w:name w:val="10"/>
    <w:basedOn w:val="35"/>
    <w:qFormat/>
    <w:uiPriority w:val="0"/>
    <w:rPr>
      <w:rFonts w:hint="default" w:ascii="Times New Roman" w:hAnsi="Times New Roman" w:cs="Times New Roman"/>
    </w:rPr>
  </w:style>
  <w:style w:type="character" w:customStyle="1" w:styleId="59">
    <w:name w:val="15"/>
    <w:basedOn w:val="35"/>
    <w:qFormat/>
    <w:uiPriority w:val="0"/>
    <w:rPr>
      <w:rFonts w:hint="default" w:ascii="Times New Roman" w:hAnsi="Times New Roman" w:cs="Times New Roman"/>
      <w:vertAlign w:val="superscript"/>
    </w:rPr>
  </w:style>
  <w:style w:type="character" w:customStyle="1" w:styleId="60">
    <w:name w:val="16"/>
    <w:basedOn w:val="35"/>
    <w:qFormat/>
    <w:uiPriority w:val="0"/>
    <w:rPr>
      <w:rFonts w:hint="default" w:ascii="Times New Roman" w:hAnsi="Times New Roman" w:cs="Times New Roman"/>
    </w:rPr>
  </w:style>
  <w:style w:type="character" w:customStyle="1" w:styleId="61">
    <w:name w:val="17"/>
    <w:basedOn w:val="35"/>
    <w:qFormat/>
    <w:uiPriority w:val="0"/>
    <w:rPr>
      <w:rFonts w:hint="default" w:ascii="Times New Roman" w:hAnsi="Times New Roman" w:cs="Times New Roman"/>
      <w:sz w:val="21"/>
      <w:szCs w:val="21"/>
    </w:rPr>
  </w:style>
  <w:style w:type="character" w:customStyle="1" w:styleId="62">
    <w:name w:val="18"/>
    <w:basedOn w:val="35"/>
    <w:qFormat/>
    <w:uiPriority w:val="0"/>
    <w:rPr>
      <w:rFonts w:hint="default" w:ascii="Arial" w:hAnsi="Arial" w:eastAsia="黑体" w:cs="Arial"/>
      <w:b/>
      <w:bCs/>
      <w:kern w:val="2"/>
      <w:sz w:val="32"/>
      <w:szCs w:val="32"/>
    </w:rPr>
  </w:style>
  <w:style w:type="character" w:customStyle="1" w:styleId="63">
    <w:name w:val="批注主题 Char"/>
    <w:basedOn w:val="54"/>
    <w:link w:val="30"/>
    <w:semiHidden/>
    <w:qFormat/>
    <w:uiPriority w:val="99"/>
    <w:rPr>
      <w:rFonts w:ascii="Times New Roman" w:hAnsi="Times New Roman" w:eastAsia="宋体" w:cs="Times New Roman"/>
      <w:b/>
      <w:bCs/>
      <w:szCs w:val="21"/>
    </w:rPr>
  </w:style>
  <w:style w:type="character" w:customStyle="1" w:styleId="64">
    <w:name w:val="批注框文本 Char"/>
    <w:basedOn w:val="35"/>
    <w:link w:val="18"/>
    <w:semiHidden/>
    <w:qFormat/>
    <w:uiPriority w:val="99"/>
    <w:rPr>
      <w:rFonts w:ascii="Times New Roman" w:hAnsi="Times New Roman" w:eastAsia="宋体" w:cs="Times New Roman"/>
      <w:sz w:val="18"/>
      <w:szCs w:val="18"/>
    </w:rPr>
  </w:style>
  <w:style w:type="character" w:customStyle="1" w:styleId="65">
    <w:name w:val="页眉 Char"/>
    <w:basedOn w:val="35"/>
    <w:link w:val="20"/>
    <w:qFormat/>
    <w:uiPriority w:val="99"/>
    <w:rPr>
      <w:rFonts w:ascii="Times New Roman" w:hAnsi="Times New Roman" w:eastAsia="宋体" w:cs="Times New Roman"/>
      <w:sz w:val="18"/>
      <w:szCs w:val="18"/>
    </w:rPr>
  </w:style>
  <w:style w:type="paragraph" w:customStyle="1" w:styleId="66">
    <w:name w:val="列出段落1"/>
    <w:basedOn w:val="1"/>
    <w:link w:val="101"/>
    <w:qFormat/>
    <w:uiPriority w:val="34"/>
    <w:pPr>
      <w:ind w:firstLine="420" w:firstLineChars="200"/>
    </w:pPr>
  </w:style>
  <w:style w:type="paragraph" w:customStyle="1" w:styleId="67">
    <w:name w:val="列出段落2"/>
    <w:basedOn w:val="1"/>
    <w:qFormat/>
    <w:uiPriority w:val="34"/>
    <w:pPr>
      <w:ind w:firstLine="420" w:firstLineChars="200"/>
    </w:pPr>
  </w:style>
  <w:style w:type="character" w:customStyle="1" w:styleId="68">
    <w:name w:val="bag_num"/>
    <w:basedOn w:val="35"/>
    <w:qFormat/>
    <w:uiPriority w:val="0"/>
    <w:rPr>
      <w:b/>
    </w:rPr>
  </w:style>
  <w:style w:type="character" w:customStyle="1" w:styleId="69">
    <w:name w:val="bag_num1"/>
    <w:basedOn w:val="35"/>
    <w:qFormat/>
    <w:uiPriority w:val="0"/>
    <w:rPr>
      <w:b/>
    </w:rPr>
  </w:style>
  <w:style w:type="character" w:customStyle="1" w:styleId="70">
    <w:name w:val="bag_num2"/>
    <w:basedOn w:val="35"/>
    <w:qFormat/>
    <w:uiPriority w:val="0"/>
    <w:rPr>
      <w:b/>
    </w:rPr>
  </w:style>
  <w:style w:type="character" w:customStyle="1" w:styleId="71">
    <w:name w:val="bag_name"/>
    <w:basedOn w:val="35"/>
    <w:qFormat/>
    <w:uiPriority w:val="0"/>
  </w:style>
  <w:style w:type="character" w:customStyle="1" w:styleId="72">
    <w:name w:val="bag_name1"/>
    <w:basedOn w:val="35"/>
    <w:qFormat/>
    <w:uiPriority w:val="0"/>
  </w:style>
  <w:style w:type="character" w:customStyle="1" w:styleId="73">
    <w:name w:val="bag_name2"/>
    <w:basedOn w:val="35"/>
    <w:qFormat/>
    <w:uiPriority w:val="0"/>
  </w:style>
  <w:style w:type="character" w:customStyle="1" w:styleId="74">
    <w:name w:val="bag_name3"/>
    <w:basedOn w:val="35"/>
    <w:qFormat/>
    <w:uiPriority w:val="0"/>
  </w:style>
  <w:style w:type="character" w:customStyle="1" w:styleId="75">
    <w:name w:val="fieldsetf"/>
    <w:basedOn w:val="35"/>
    <w:qFormat/>
    <w:uiPriority w:val="0"/>
  </w:style>
  <w:style w:type="character" w:customStyle="1" w:styleId="76">
    <w:name w:val="fieldsets"/>
    <w:basedOn w:val="35"/>
    <w:qFormat/>
    <w:uiPriority w:val="0"/>
  </w:style>
  <w:style w:type="character" w:customStyle="1" w:styleId="77">
    <w:name w:val="num"/>
    <w:basedOn w:val="35"/>
    <w:qFormat/>
    <w:uiPriority w:val="0"/>
    <w:rPr>
      <w:b/>
      <w:color w:val="FF0000"/>
      <w:sz w:val="10"/>
      <w:szCs w:val="10"/>
    </w:rPr>
  </w:style>
  <w:style w:type="paragraph" w:customStyle="1" w:styleId="78">
    <w:name w:val="Normal (GB)"/>
    <w:basedOn w:val="1"/>
    <w:qFormat/>
    <w:uiPriority w:val="0"/>
    <w:pPr>
      <w:widowControl/>
      <w:spacing w:after="180"/>
      <w:ind w:firstLine="522"/>
    </w:pPr>
    <w:rPr>
      <w:rFonts w:eastAsia="华文楷体"/>
      <w:kern w:val="0"/>
      <w:sz w:val="26"/>
      <w:szCs w:val="26"/>
      <w:lang w:eastAsia="en-US"/>
    </w:rPr>
  </w:style>
  <w:style w:type="paragraph" w:customStyle="1" w:styleId="79">
    <w:name w:val="样式1"/>
    <w:basedOn w:val="1"/>
    <w:qFormat/>
    <w:uiPriority w:val="0"/>
    <w:pPr>
      <w:spacing w:line="360" w:lineRule="auto"/>
      <w:ind w:firstLine="640" w:firstLineChars="200"/>
      <w:contextualSpacing/>
    </w:pPr>
    <w:rPr>
      <w:rFonts w:ascii="仿宋" w:hAnsi="仿宋"/>
      <w:sz w:val="32"/>
      <w:szCs w:val="32"/>
      <w:lang w:val="zh-CN"/>
    </w:rPr>
  </w:style>
  <w:style w:type="paragraph" w:customStyle="1" w:styleId="80">
    <w:name w:val="大标题"/>
    <w:basedOn w:val="1"/>
    <w:next w:val="1"/>
    <w:qFormat/>
    <w:uiPriority w:val="0"/>
    <w:pPr>
      <w:outlineLvl w:val="0"/>
    </w:pPr>
    <w:rPr>
      <w:rFonts w:eastAsia="黑体"/>
      <w:b/>
      <w:sz w:val="32"/>
      <w:szCs w:val="32"/>
    </w:rPr>
  </w:style>
  <w:style w:type="paragraph" w:customStyle="1" w:styleId="8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列出段落21"/>
    <w:basedOn w:val="1"/>
    <w:qFormat/>
    <w:uiPriority w:val="34"/>
    <w:pPr>
      <w:ind w:firstLine="420" w:firstLineChars="200"/>
    </w:pPr>
  </w:style>
  <w:style w:type="paragraph" w:customStyle="1" w:styleId="83">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84">
    <w:name w:val="样式 标题 2 + 宋体 行距: 1.5 倍行距"/>
    <w:basedOn w:val="4"/>
    <w:qFormat/>
    <w:uiPriority w:val="0"/>
    <w:pPr>
      <w:tabs>
        <w:tab w:val="left" w:pos="425"/>
        <w:tab w:val="left" w:pos="567"/>
      </w:tabs>
      <w:spacing w:line="360" w:lineRule="auto"/>
      <w:ind w:left="840" w:hanging="420"/>
    </w:pPr>
    <w:rPr>
      <w:rFonts w:ascii="宋体" w:hAnsi="Cambria" w:eastAsia="宋体" w:cs="宋体"/>
      <w:sz w:val="28"/>
    </w:rPr>
  </w:style>
  <w:style w:type="character" w:customStyle="1" w:styleId="85">
    <w:name w:val="md2"/>
    <w:qFormat/>
    <w:uiPriority w:val="0"/>
    <w:rPr>
      <w:sz w:val="22"/>
      <w:szCs w:val="22"/>
    </w:rPr>
  </w:style>
  <w:style w:type="paragraph" w:customStyle="1" w:styleId="86">
    <w:name w:val="列出段落3"/>
    <w:qFormat/>
    <w:uiPriority w:val="34"/>
    <w:pPr>
      <w:widowControl w:val="0"/>
      <w:spacing w:line="276" w:lineRule="auto"/>
      <w:jc w:val="both"/>
    </w:pPr>
    <w:rPr>
      <w:rFonts w:ascii="Calibri" w:hAnsi="Calibri" w:eastAsia="宋体" w:cs="Times New Roman"/>
      <w:kern w:val="2"/>
      <w:sz w:val="21"/>
      <w:szCs w:val="22"/>
      <w:lang w:val="en-US" w:eastAsia="zh-CN" w:bidi="ar-SA"/>
    </w:rPr>
  </w:style>
  <w:style w:type="paragraph" w:customStyle="1" w:styleId="87">
    <w:name w:val="列出段落31"/>
    <w:qFormat/>
    <w:uiPriority w:val="34"/>
    <w:pPr>
      <w:widowControl w:val="0"/>
      <w:spacing w:line="276" w:lineRule="auto"/>
      <w:jc w:val="both"/>
    </w:pPr>
    <w:rPr>
      <w:rFonts w:ascii="Calibri" w:hAnsi="Calibri" w:eastAsia="宋体" w:cs="Times New Roman"/>
      <w:kern w:val="2"/>
      <w:sz w:val="21"/>
      <w:szCs w:val="22"/>
      <w:lang w:val="en-US" w:eastAsia="zh-CN" w:bidi="ar-SA"/>
    </w:rPr>
  </w:style>
  <w:style w:type="character" w:customStyle="1" w:styleId="88">
    <w:name w:val="hover7"/>
    <w:basedOn w:val="35"/>
    <w:qFormat/>
    <w:uiPriority w:val="0"/>
    <w:rPr>
      <w:color w:val="FF6633"/>
    </w:rPr>
  </w:style>
  <w:style w:type="character" w:customStyle="1" w:styleId="89">
    <w:name w:val="active"/>
    <w:basedOn w:val="35"/>
    <w:qFormat/>
    <w:uiPriority w:val="0"/>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2">
    <w:name w:val="列出段落4"/>
    <w:basedOn w:val="1"/>
    <w:qFormat/>
    <w:uiPriority w:val="99"/>
    <w:pPr>
      <w:ind w:firstLine="420" w:firstLineChars="200"/>
    </w:pPr>
  </w:style>
  <w:style w:type="character" w:customStyle="1" w:styleId="93">
    <w:name w:val="hilite"/>
    <w:basedOn w:val="35"/>
    <w:qFormat/>
    <w:uiPriority w:val="0"/>
    <w:rPr>
      <w:color w:val="000000"/>
    </w:rPr>
  </w:style>
  <w:style w:type="character" w:customStyle="1" w:styleId="94">
    <w:name w:val="hilite6"/>
    <w:basedOn w:val="35"/>
    <w:qFormat/>
    <w:uiPriority w:val="0"/>
    <w:rPr>
      <w:color w:val="000000"/>
    </w:rPr>
  </w:style>
  <w:style w:type="character" w:customStyle="1" w:styleId="95">
    <w:name w:val="active6"/>
    <w:basedOn w:val="35"/>
    <w:qFormat/>
    <w:uiPriority w:val="0"/>
    <w:rPr>
      <w:color w:val="FFFFFF"/>
    </w:rPr>
  </w:style>
  <w:style w:type="paragraph" w:customStyle="1" w:styleId="96">
    <w:name w:val="样式 左侧:  0.74 厘米1"/>
    <w:basedOn w:val="1"/>
    <w:qFormat/>
    <w:uiPriority w:val="0"/>
    <w:pPr>
      <w:ind w:left="620" w:hanging="200" w:hangingChars="200"/>
    </w:pPr>
    <w:rPr>
      <w:rFonts w:ascii="Calibri" w:hAnsi="Calibri" w:cs="宋体"/>
      <w:kern w:val="0"/>
    </w:rPr>
  </w:style>
  <w:style w:type="character" w:customStyle="1" w:styleId="97">
    <w:name w:val="hover8"/>
    <w:basedOn w:val="35"/>
    <w:qFormat/>
    <w:uiPriority w:val="0"/>
    <w:rPr>
      <w:color w:val="FF6633"/>
    </w:rPr>
  </w:style>
  <w:style w:type="paragraph" w:customStyle="1" w:styleId="98">
    <w:name w:val="列表段落1"/>
    <w:basedOn w:val="1"/>
    <w:qFormat/>
    <w:uiPriority w:val="0"/>
    <w:pPr>
      <w:ind w:firstLine="420" w:firstLineChars="200"/>
    </w:pPr>
  </w:style>
  <w:style w:type="character" w:customStyle="1" w:styleId="99">
    <w:name w:val="标题 2 Char Char Char"/>
    <w:qFormat/>
    <w:uiPriority w:val="0"/>
    <w:rPr>
      <w:rFonts w:ascii="Arial" w:hAnsi="Arial" w:eastAsia="黑体"/>
      <w:b/>
      <w:bCs/>
      <w:kern w:val="2"/>
      <w:sz w:val="32"/>
      <w:szCs w:val="32"/>
      <w:lang w:val="en-US" w:eastAsia="zh-CN" w:bidi="ar-SA"/>
    </w:rPr>
  </w:style>
  <w:style w:type="paragraph" w:customStyle="1" w:styleId="100">
    <w:name w:val="列出段落5"/>
    <w:basedOn w:val="1"/>
    <w:qFormat/>
    <w:uiPriority w:val="99"/>
    <w:pPr>
      <w:ind w:firstLine="420" w:firstLineChars="200"/>
    </w:pPr>
  </w:style>
  <w:style w:type="character" w:customStyle="1" w:styleId="101">
    <w:name w:val="列出段落 Char"/>
    <w:link w:val="66"/>
    <w:qFormat/>
    <w:uiPriority w:val="34"/>
    <w:rPr>
      <w:rFonts w:ascii="Times New Roman" w:hAnsi="Times New Roman"/>
      <w:kern w:val="2"/>
      <w:sz w:val="21"/>
      <w:szCs w:val="21"/>
    </w:rPr>
  </w:style>
  <w:style w:type="paragraph" w:customStyle="1" w:styleId="102">
    <w:name w:val="列出段落6"/>
    <w:basedOn w:val="1"/>
    <w:qFormat/>
    <w:uiPriority w:val="34"/>
    <w:pPr>
      <w:ind w:firstLine="420" w:firstLineChars="200"/>
    </w:pPr>
    <w:rPr>
      <w:rFonts w:asciiTheme="minorHAnsi" w:hAnsiTheme="minorHAnsi" w:eastAsiaTheme="minorEastAsia" w:cstheme="minorBidi"/>
      <w:szCs w:val="22"/>
    </w:rPr>
  </w:style>
  <w:style w:type="character" w:customStyle="1" w:styleId="103">
    <w:name w:val="c-icon30"/>
    <w:basedOn w:val="35"/>
    <w:qFormat/>
    <w:uiPriority w:val="0"/>
  </w:style>
  <w:style w:type="character" w:customStyle="1" w:styleId="104">
    <w:name w:val="hover26"/>
    <w:basedOn w:val="35"/>
    <w:qFormat/>
    <w:uiPriority w:val="0"/>
    <w:rPr>
      <w:color w:val="315EFB"/>
    </w:rPr>
  </w:style>
  <w:style w:type="character" w:customStyle="1" w:styleId="105">
    <w:name w:val="hover27"/>
    <w:basedOn w:val="35"/>
    <w:qFormat/>
    <w:uiPriority w:val="0"/>
  </w:style>
  <w:style w:type="paragraph" w:customStyle="1" w:styleId="106">
    <w:name w:val="列出段落7"/>
    <w:basedOn w:val="1"/>
    <w:qFormat/>
    <w:uiPriority w:val="34"/>
    <w:pPr>
      <w:ind w:firstLine="420" w:firstLineChars="200"/>
    </w:pPr>
  </w:style>
  <w:style w:type="character" w:customStyle="1" w:styleId="107">
    <w:name w:val="font21"/>
    <w:basedOn w:val="35"/>
    <w:qFormat/>
    <w:uiPriority w:val="0"/>
    <w:rPr>
      <w:rFonts w:hint="eastAsia" w:ascii="华文中宋" w:hAnsi="华文中宋" w:eastAsia="华文中宋" w:cs="华文中宋"/>
      <w:color w:val="000000"/>
      <w:sz w:val="28"/>
      <w:szCs w:val="28"/>
      <w:u w:val="none"/>
    </w:rPr>
  </w:style>
  <w:style w:type="character" w:customStyle="1" w:styleId="108">
    <w:name w:val="font81"/>
    <w:basedOn w:val="35"/>
    <w:qFormat/>
    <w:uiPriority w:val="0"/>
    <w:rPr>
      <w:rFonts w:hint="eastAsia" w:ascii="华文中宋" w:hAnsi="华文中宋" w:eastAsia="华文中宋" w:cs="华文中宋"/>
      <w:color w:val="000000"/>
      <w:sz w:val="28"/>
      <w:szCs w:val="28"/>
      <w:u w:val="none"/>
    </w:rPr>
  </w:style>
  <w:style w:type="paragraph" w:customStyle="1" w:styleId="109">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110">
    <w:name w:val="列出段落8"/>
    <w:basedOn w:val="1"/>
    <w:qFormat/>
    <w:uiPriority w:val="34"/>
    <w:pPr>
      <w:ind w:firstLine="420" w:firstLineChars="200"/>
    </w:pPr>
    <w:rPr>
      <w:rFonts w:asciiTheme="minorHAnsi" w:hAnsiTheme="minorHAnsi" w:eastAsiaTheme="minorEastAsia" w:cstheme="minorBidi"/>
      <w:szCs w:val="22"/>
    </w:rPr>
  </w:style>
  <w:style w:type="paragraph" w:customStyle="1" w:styleId="111">
    <w:name w:val="纯文本1"/>
    <w:basedOn w:val="1"/>
    <w:qFormat/>
    <w:uiPriority w:val="0"/>
    <w:pPr>
      <w:adjustRightInd w:val="0"/>
    </w:pPr>
    <w:rPr>
      <w:rFonts w:ascii="宋体" w:hAnsi="Courier New"/>
    </w:rPr>
  </w:style>
  <w:style w:type="character" w:customStyle="1" w:styleId="112">
    <w:name w:val="active4"/>
    <w:basedOn w:val="35"/>
    <w:qFormat/>
    <w:uiPriority w:val="0"/>
    <w:rPr>
      <w:color w:val="FFFFFF"/>
    </w:rPr>
  </w:style>
  <w:style w:type="paragraph" w:customStyle="1" w:styleId="113">
    <w:name w:val="_Style 1"/>
    <w:basedOn w:val="1"/>
    <w:qFormat/>
    <w:uiPriority w:val="0"/>
    <w:pPr>
      <w:widowControl/>
      <w:ind w:firstLine="420" w:firstLineChars="200"/>
      <w:jc w:val="left"/>
    </w:pPr>
    <w:rPr>
      <w:rFonts w:ascii="宋体" w:hAnsi="宋体" w:cs="宋体"/>
      <w:kern w:val="0"/>
    </w:rPr>
  </w:style>
  <w:style w:type="paragraph" w:customStyle="1" w:styleId="114">
    <w:name w:val="缺省文本"/>
    <w:basedOn w:val="1"/>
    <w:qFormat/>
    <w:uiPriority w:val="0"/>
    <w:pPr>
      <w:autoSpaceDE w:val="0"/>
      <w:autoSpaceDN w:val="0"/>
      <w:adjustRightInd w:val="0"/>
      <w:jc w:val="left"/>
    </w:pPr>
    <w:rPr>
      <w:kern w:val="0"/>
      <w:szCs w:val="20"/>
    </w:rPr>
  </w:style>
  <w:style w:type="paragraph" w:customStyle="1" w:styleId="115">
    <w:name w:val="Char1 Char Char Char Char Char Char Char Char Char"/>
    <w:basedOn w:val="1"/>
    <w:qFormat/>
    <w:uiPriority w:val="0"/>
    <w:pPr>
      <w:spacing w:before="240" w:after="120" w:line="288" w:lineRule="auto"/>
      <w:ind w:firstLine="200" w:firstLineChars="200"/>
      <w:jc w:val="left"/>
    </w:pPr>
    <w:rPr>
      <w:szCs w:val="20"/>
    </w:rPr>
  </w:style>
  <w:style w:type="paragraph" w:customStyle="1" w:styleId="116">
    <w:name w:val="List Paragraph"/>
    <w:basedOn w:val="1"/>
    <w:qFormat/>
    <w:uiPriority w:val="99"/>
    <w:pPr>
      <w:ind w:firstLine="420" w:firstLineChars="200"/>
    </w:pPr>
  </w:style>
  <w:style w:type="character" w:customStyle="1" w:styleId="117">
    <w:name w:val="正文缩进 Char"/>
    <w:link w:val="5"/>
    <w:qFormat/>
    <w:uiPriority w:val="0"/>
    <w:rPr>
      <w:kern w:val="2"/>
      <w:sz w:val="21"/>
      <w:szCs w:val="21"/>
    </w:rPr>
  </w:style>
  <w:style w:type="paragraph" w:customStyle="1" w:styleId="118">
    <w:name w:val="1"/>
    <w:basedOn w:val="1"/>
    <w:next w:val="17"/>
    <w:qFormat/>
    <w:uiPriority w:val="0"/>
    <w:pPr>
      <w:adjustRightInd w:val="0"/>
      <w:spacing w:line="360" w:lineRule="atLeast"/>
      <w:ind w:left="600" w:firstLine="720"/>
      <w:jc w:val="left"/>
      <w:textAlignment w:val="baseline"/>
    </w:pPr>
    <w:rPr>
      <w:rFonts w:ascii="宋体"/>
      <w:kern w:val="0"/>
      <w:szCs w:val="20"/>
    </w:rPr>
  </w:style>
  <w:style w:type="paragraph" w:customStyle="1" w:styleId="119">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20">
    <w:name w:val="条款节部分"/>
    <w:basedOn w:val="1"/>
    <w:qFormat/>
    <w:uiPriority w:val="0"/>
    <w:pPr>
      <w:numPr>
        <w:ilvl w:val="0"/>
        <w:numId w:val="2"/>
      </w:numPr>
    </w:pPr>
    <w:rPr>
      <w:rFonts w:eastAsia="仿宋_GB2312"/>
      <w:sz w:val="32"/>
      <w:szCs w:val="32"/>
    </w:rPr>
  </w:style>
  <w:style w:type="character" w:customStyle="1" w:styleId="121">
    <w:name w:val="明显强调1"/>
    <w:qFormat/>
    <w:uiPriority w:val="21"/>
    <w:rPr>
      <w:rFonts w:eastAsia="仿宋_GB2312"/>
      <w:bCs/>
      <w:iCs/>
      <w:color w:val="auto"/>
      <w:sz w:val="32"/>
    </w:rPr>
  </w:style>
  <w:style w:type="character" w:customStyle="1" w:styleId="122">
    <w:name w:val="明显强调2"/>
    <w:qFormat/>
    <w:uiPriority w:val="21"/>
    <w:rPr>
      <w:rFonts w:eastAsia="仿宋_GB2312"/>
      <w:bCs/>
      <w:iCs/>
      <w:color w:val="auto"/>
      <w:sz w:val="32"/>
    </w:rPr>
  </w:style>
  <w:style w:type="paragraph" w:customStyle="1" w:styleId="123">
    <w:name w:val="_正文"/>
    <w:basedOn w:val="1"/>
    <w:qFormat/>
    <w:uiPriority w:val="99"/>
    <w:rPr>
      <w:szCs w:val="20"/>
    </w:rPr>
  </w:style>
  <w:style w:type="paragraph" w:customStyle="1" w:styleId="124">
    <w:name w:val="null3"/>
    <w:qFormat/>
    <w:uiPriority w:val="0"/>
    <w:rPr>
      <w:rFonts w:hint="eastAsia"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118</Pages>
  <Words>8124</Words>
  <Characters>8741</Characters>
  <Lines>274</Lines>
  <Paragraphs>77</Paragraphs>
  <TotalTime>0</TotalTime>
  <ScaleCrop>false</ScaleCrop>
  <LinksUpToDate>false</LinksUpToDate>
  <CharactersWithSpaces>8805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2024-01-17T05:49:00Z</dcterms:created>
  <dc:creator>韩 远珍</dc:creator>
  <cp:lastModifiedBy>玉簪轻绾融于发</cp:lastModifiedBy>
  <cp:lastPrinted>2024-10-24T06:52:00Z</cp:lastPrinted>
  <dcterms:modified xsi:type="dcterms:W3CDTF">2025-08-01T08:53:27Z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ContentTypeId">
    <vt:lpwstr>0x010100661FD9EF70689A44B0B36321B38F1D63</vt:lpwstr>
  </property>
  <property fmtid="{D5CDD505-2E9C-101B-9397-08002B2CF9AE}" pid="4" name="ICV">
    <vt:lpwstr>FCF62125EBAB4FFD9CC03A6EBFB0D5E5_13</vt:lpwstr>
  </property>
  <property fmtid="{D5CDD505-2E9C-101B-9397-08002B2CF9AE}" pid="5" name="KSOTemplateDocerSaveRecord">
    <vt:lpwstr>eyJoZGlkIjoiODkxYjE0ZTFmYTE1M2QyYWMwNzVkOTU5ODM2MzM5OTkiLCJ1c2VySWQiOiIyOTYzMzUyMyJ9</vt:lpwstr>
  </property>
</Properties>
</file>