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《兴业银行关于市拓及代发运营支持外包项目供应商征集公告》供应商征集反馈材料-公司名称（全称）</w:t>
      </w:r>
    </w:p>
    <w:p>
      <w:pPr>
        <w:ind w:left="0" w:leftChars="0" w:firstLine="0" w:firstLineChars="0"/>
        <w:jc w:val="center"/>
        <w:rPr>
          <w:rFonts w:hint="eastAsia" w:ascii="仿宋" w:hAnsi="仿宋" w:eastAsia="仿宋"/>
          <w:b/>
          <w:bCs/>
          <w:sz w:val="36"/>
          <w:szCs w:val="36"/>
          <w:lang w:val="en-US" w:eastAsia="zh-CN"/>
        </w:rPr>
      </w:pPr>
    </w:p>
    <w:p>
      <w:pPr>
        <w:ind w:left="0" w:leftChars="0" w:firstLine="0" w:firstLineChars="0"/>
        <w:jc w:val="center"/>
        <w:outlineLvl w:val="0"/>
        <w:rPr>
          <w:rFonts w:hint="default" w:ascii="仿宋" w:hAnsi="仿宋" w:eastAsia="仿宋"/>
          <w:b/>
          <w:bCs/>
          <w:color w:val="FF0000"/>
          <w:sz w:val="24"/>
          <w:szCs w:val="24"/>
          <w:highlight w:val="none"/>
          <w:lang w:val="en-US" w:eastAsia="zh-CN"/>
        </w:rPr>
      </w:pPr>
      <w:r>
        <w:rPr>
          <w:rFonts w:hint="eastAsia" w:ascii="仿宋" w:hAnsi="仿宋" w:eastAsia="仿宋"/>
          <w:b/>
          <w:bCs/>
          <w:sz w:val="36"/>
          <w:szCs w:val="36"/>
          <w:lang w:val="en-US" w:eastAsia="zh-CN"/>
        </w:rPr>
        <w:t>目录指引</w:t>
      </w:r>
      <w:r>
        <w:rPr>
          <w:rFonts w:hint="eastAsia" w:ascii="仿宋" w:hAnsi="仿宋" w:eastAsia="仿宋"/>
          <w:b/>
          <w:bCs/>
          <w:color w:val="FF0000"/>
          <w:sz w:val="24"/>
          <w:szCs w:val="24"/>
          <w:highlight w:val="none"/>
          <w:lang w:val="en-US" w:eastAsia="zh-CN"/>
        </w:rPr>
        <w:t>（请报名供应商据实修改）</w:t>
      </w:r>
    </w:p>
    <w:p>
      <w:pPr>
        <w:pStyle w:val="4"/>
        <w:keepNext w:val="0"/>
        <w:keepLines w:val="0"/>
        <w:pageBreakBefore w:val="0"/>
        <w:widowControl w:val="0"/>
        <w:tabs>
          <w:tab w:val="left" w:pos="992"/>
        </w:tabs>
        <w:kinsoku/>
        <w:wordWrap/>
        <w:overflowPunct/>
        <w:topLinePunct/>
        <w:autoSpaceDE/>
        <w:autoSpaceDN/>
        <w:bidi w:val="0"/>
        <w:adjustRightInd/>
        <w:snapToGrid/>
        <w:ind w:left="0" w:leftChars="0" w:firstLine="0" w:firstLineChars="0"/>
        <w:jc w:val="center"/>
        <w:textAlignment w:val="auto"/>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第一部分 对应页码P1-P20</w:t>
      </w:r>
    </w:p>
    <w:p>
      <w:pPr>
        <w:pStyle w:val="4"/>
        <w:tabs>
          <w:tab w:val="left" w:pos="992"/>
        </w:tabs>
        <w:ind w:left="0" w:leftChars="0" w:firstLine="0" w:firstLineChars="0"/>
        <w:jc w:val="center"/>
        <w:outlineLvl w:val="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第二部分 对应页码P21-P30</w:t>
      </w:r>
    </w:p>
    <w:p>
      <w:pPr>
        <w:pStyle w:val="4"/>
        <w:tabs>
          <w:tab w:val="left" w:pos="992"/>
        </w:tabs>
        <w:ind w:left="0" w:leftChars="0" w:firstLine="0" w:firstLineChars="0"/>
        <w:jc w:val="center"/>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第三部分 对应页码P31-P40</w:t>
      </w:r>
    </w:p>
    <w:p>
      <w:pPr>
        <w:pStyle w:val="4"/>
        <w:tabs>
          <w:tab w:val="left" w:pos="992"/>
        </w:tabs>
        <w:ind w:firstLine="0" w:firstLineChars="0"/>
        <w:jc w:val="center"/>
        <w:outlineLvl w:val="0"/>
        <w:rPr>
          <w:rFonts w:hint="eastAsia"/>
          <w:lang w:val="en-US" w:eastAsia="zh-CN"/>
        </w:rPr>
      </w:pPr>
      <w:r>
        <w:rPr>
          <w:rFonts w:hint="eastAsia" w:ascii="仿宋" w:hAnsi="仿宋" w:eastAsia="仿宋" w:cs="Times New Roman"/>
          <w:b/>
          <w:bCs/>
          <w:kern w:val="2"/>
          <w:sz w:val="28"/>
          <w:szCs w:val="28"/>
          <w:lang w:val="en-US" w:eastAsia="zh-CN" w:bidi="ar-SA"/>
        </w:rPr>
        <w:t>第四部分 对应页码P41-P50</w:t>
      </w:r>
    </w:p>
    <w:p>
      <w:pPr>
        <w:pStyle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251" w:beforeLines="80"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项目要求应答部分</w:t>
      </w:r>
    </w:p>
    <w:p>
      <w:pPr>
        <w:keepNext w:val="0"/>
        <w:keepLines w:val="0"/>
        <w:pageBreakBefore w:val="0"/>
        <w:kinsoku/>
        <w:wordWrap/>
        <w:overflowPunct/>
        <w:autoSpaceDE/>
        <w:autoSpaceDN/>
        <w:bidi w:val="0"/>
        <w:adjustRightInd/>
        <w:snapToGrid/>
        <w:spacing w:line="579" w:lineRule="exact"/>
        <w:ind w:left="0" w:leftChars="0" w:firstLine="640" w:firstLineChars="200"/>
        <w:textAlignment w:val="auto"/>
        <w:outlineLvl w:val="9"/>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（该部分的“审核事项”列由</w:t>
      </w:r>
      <w:r>
        <w:rPr>
          <w:rFonts w:hint="eastAsia" w:ascii="仿宋" w:hAnsi="仿宋" w:eastAsia="仿宋" w:cs="仿宋"/>
          <w:b w:val="0"/>
          <w:bCs w:val="0"/>
          <w:color w:val="000000" w:themeColor="text1"/>
          <w:sz w:val="32"/>
          <w:szCs w:val="32"/>
          <w:lang w:eastAsia="zh-CN"/>
          <w14:textFill>
            <w14:solidFill>
              <w14:schemeClr w14:val="tx1"/>
            </w14:solidFill>
          </w14:textFill>
        </w:rPr>
        <w:t>需求（统筹管理）部门</w:t>
      </w:r>
      <w:r>
        <w:rPr>
          <w:rFonts w:hint="eastAsia" w:ascii="仿宋" w:hAnsi="仿宋" w:eastAsia="仿宋" w:cs="仿宋"/>
          <w:b w:val="0"/>
          <w:bCs w:val="0"/>
          <w:color w:val="000000" w:themeColor="text1"/>
          <w:sz w:val="32"/>
          <w:szCs w:val="32"/>
          <w14:textFill>
            <w14:solidFill>
              <w14:schemeClr w14:val="tx1"/>
            </w14:solidFill>
          </w14:textFill>
        </w:rPr>
        <w:t>填写，“审核事项”中的各点，请和征集公告文档中的第一和第二部分要求一一对应。“是否满足”和“基本情况说明”列由供应商填写。）</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7"/>
        <w:gridCol w:w="1387"/>
        <w:gridCol w:w="2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469"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审核事项</w:t>
            </w:r>
          </w:p>
        </w:tc>
        <w:tc>
          <w:tcPr>
            <w:tcW w:w="81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是否满足（是/否）</w:t>
            </w:r>
          </w:p>
        </w:tc>
        <w:tc>
          <w:tcPr>
            <w:tcW w:w="1716"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基本情况说明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一、采购需求及资格要求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469"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1.1采购需求</w:t>
            </w:r>
            <w:r>
              <w:rPr>
                <w:rFonts w:hint="eastAsia" w:ascii="仿宋" w:hAnsi="仿宋" w:eastAsia="仿宋" w:cs="仿宋"/>
                <w:b w:val="0"/>
                <w:bCs w:val="0"/>
                <w:sz w:val="28"/>
                <w:szCs w:val="28"/>
                <w:lang w:eastAsia="zh-CN"/>
              </w:rPr>
              <w:t>：</w:t>
            </w:r>
          </w:p>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lang w:eastAsia="zh-CN"/>
              </w:rPr>
            </w:pPr>
            <w:r>
              <w:rPr>
                <w:rFonts w:hint="eastAsia" w:ascii="仿宋" w:hAnsi="仿宋" w:eastAsia="仿宋" w:cs="仿宋"/>
                <w:b w:val="0"/>
                <w:bCs w:val="0"/>
                <w:sz w:val="28"/>
                <w:szCs w:val="28"/>
                <w:lang w:eastAsia="zh-CN"/>
              </w:rPr>
              <w:t>市拓及代发运营支持外包人员主要辅助客户经理开展新客户开发，开展产品推荐、客户咨询、客户操作指导；辅助客户经理提升客户粘性及综合服务能力，通过市场调研和客户走访对客户需求深度挖掘，进行客户维护等。</w:t>
            </w:r>
          </w:p>
        </w:tc>
        <w:tc>
          <w:tcPr>
            <w:tcW w:w="814"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1716"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1.2  </w:t>
            </w:r>
            <w:r>
              <w:rPr>
                <w:rFonts w:hint="eastAsia" w:ascii="仿宋" w:hAnsi="仿宋" w:eastAsia="仿宋" w:cs="仿宋"/>
                <w:b w:val="0"/>
                <w:bCs w:val="0"/>
                <w:sz w:val="28"/>
                <w:szCs w:val="28"/>
                <w:lang w:eastAsia="zh-CN"/>
              </w:rPr>
              <w:t>人员资质要求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469"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1.2.</w:t>
            </w: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学历要求：大学专科及以上学历</w:t>
            </w:r>
            <w:r>
              <w:rPr>
                <w:rFonts w:hint="eastAsia" w:ascii="仿宋" w:hAnsi="仿宋" w:eastAsia="仿宋" w:cs="仿宋"/>
                <w:b w:val="0"/>
                <w:bCs w:val="0"/>
                <w:sz w:val="28"/>
                <w:szCs w:val="28"/>
                <w:lang w:eastAsia="zh-CN"/>
              </w:rPr>
              <w:t>。</w:t>
            </w:r>
          </w:p>
        </w:tc>
        <w:tc>
          <w:tcPr>
            <w:tcW w:w="814"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1716"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469"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rPr>
            </w:pPr>
            <w:r>
              <w:rPr>
                <w:rFonts w:hint="eastAsia" w:ascii="仿宋" w:hAnsi="仿宋" w:eastAsia="仿宋" w:cs="仿宋"/>
                <w:b w:val="0"/>
                <w:bCs w:val="0"/>
                <w:sz w:val="28"/>
                <w:szCs w:val="28"/>
              </w:rPr>
              <w:t>1.2.</w:t>
            </w: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年龄要求：35周岁以下，户籍、男女不限；</w:t>
            </w:r>
          </w:p>
        </w:tc>
        <w:tc>
          <w:tcPr>
            <w:tcW w:w="814"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1716"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469"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1.2.3身体健康，仪表端正，沟通表达良好，无不良嗜好；</w:t>
            </w:r>
          </w:p>
        </w:tc>
        <w:tc>
          <w:tcPr>
            <w:tcW w:w="814"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1716"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469"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1.2.4遵纪守法，诚实守信，无征信不良记录、违法违纪行为及投资经商等行为；</w:t>
            </w:r>
          </w:p>
        </w:tc>
        <w:tc>
          <w:tcPr>
            <w:tcW w:w="814"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1716"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469"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1.2.5性格开朗，亲和力强，言谈举止大方得体，具有较强的沟通能力和耐心；有较强的服务意识，团队合作精神意识较强；</w:t>
            </w:r>
          </w:p>
        </w:tc>
        <w:tc>
          <w:tcPr>
            <w:tcW w:w="814"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1716"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469"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1.2.6做事认真负责，能够注意细节，具有较强的学习能力和应变能力，具备较强的观察能力和动手操作能力，积极主动，吃苦耐劳，具有良好的自律性；</w:t>
            </w:r>
          </w:p>
        </w:tc>
        <w:tc>
          <w:tcPr>
            <w:tcW w:w="814"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1716"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469"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1.2.7有较强的客户营销能力，能接受并认可我行产品。</w:t>
            </w:r>
          </w:p>
        </w:tc>
        <w:tc>
          <w:tcPr>
            <w:tcW w:w="814"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1716"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rPr>
              <w:t>1.3</w:t>
            </w:r>
            <w:r>
              <w:rPr>
                <w:rFonts w:hint="eastAsia" w:ascii="仿宋" w:hAnsi="仿宋" w:eastAsia="仿宋" w:cs="仿宋"/>
                <w:b w:val="0"/>
                <w:bCs w:val="0"/>
                <w:sz w:val="28"/>
                <w:szCs w:val="28"/>
                <w:lang w:val="en-US" w:eastAsia="zh-CN"/>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469"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1.3.1 服务主要内容：负责市拓及代发运营支持外包项目相关工作；</w:t>
            </w:r>
          </w:p>
        </w:tc>
        <w:tc>
          <w:tcPr>
            <w:tcW w:w="814"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1716"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469"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1.3.2项目运作：外包服务供应商负责项目整体的日常管理，负责人员的选聘与退出，考勤、考核、培训，员工关怀及管理，并承担市拓及代发运营支持外包项目员工的薪酬、福利、保险等所有权利与义务。我行向外包商支付项目外包费用，并对日常考勤、考核提供协助；</w:t>
            </w:r>
          </w:p>
        </w:tc>
        <w:tc>
          <w:tcPr>
            <w:tcW w:w="814"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1716"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469"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1.3.3 供应商中标后应按合同约定，针对我行的具体情况和服务需求，派出无不良记录的市拓及代发运营支持外包人员，并与其建立合法的劳动关系，依法履行用工管理职责；我行不承担人员的劳动关系，只负责验收外包成果并支付外包费用，外包服务供应商必须承担因外包服务人员产生的劳动纠纷、声誉风险等事件的全部责任。</w:t>
            </w:r>
          </w:p>
        </w:tc>
        <w:tc>
          <w:tcPr>
            <w:tcW w:w="814"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1716"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4</w:t>
            </w:r>
            <w:r>
              <w:rPr>
                <w:rFonts w:hint="eastAsia" w:ascii="仿宋" w:hAnsi="仿宋" w:eastAsia="仿宋" w:cs="仿宋"/>
                <w:b w:val="0"/>
                <w:bCs w:val="0"/>
                <w:sz w:val="28"/>
                <w:szCs w:val="28"/>
              </w:rPr>
              <w:t>供应商资质要求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469"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1.4.1 企业成立一年以上，近三年财务稳健，可稳定提供服务；</w:t>
            </w:r>
          </w:p>
        </w:tc>
        <w:tc>
          <w:tcPr>
            <w:tcW w:w="814"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1716"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469"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1.4.2具备2022年1月1日起（近三年）至今合作开展相似的项目外包服务案例,须提供相关案例合同，以合同签订时间为准。</w:t>
            </w:r>
            <w:bookmarkStart w:id="0" w:name="_GoBack"/>
            <w:bookmarkEnd w:id="0"/>
          </w:p>
        </w:tc>
        <w:tc>
          <w:tcPr>
            <w:tcW w:w="814"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1716"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二、报名要求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469"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2.1  依法成立，为存续、在营、开业、在册、登记成立等正常企业状态。</w:t>
            </w:r>
          </w:p>
        </w:tc>
        <w:tc>
          <w:tcPr>
            <w:tcW w:w="814"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1716"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469"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2.2  在兴业银行开立对公账户，若中标本项目，则通过兴业银行对公账户结算该项目相关费用。</w:t>
            </w:r>
          </w:p>
        </w:tc>
        <w:tc>
          <w:tcPr>
            <w:tcW w:w="814"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1716"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469"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2.3  充分理解我行服务需求并能够根据需求提供相应的服务。</w:t>
            </w:r>
          </w:p>
        </w:tc>
        <w:tc>
          <w:tcPr>
            <w:tcW w:w="814"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1716"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469"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2.4  具有良好的商业信誉和财务情况。</w:t>
            </w:r>
          </w:p>
        </w:tc>
        <w:tc>
          <w:tcPr>
            <w:tcW w:w="814"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1716"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469"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2.5  依法缴纳税收和社会保障资金。</w:t>
            </w:r>
          </w:p>
        </w:tc>
        <w:tc>
          <w:tcPr>
            <w:tcW w:w="814"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1716"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469"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2.6  未被“信用中国”网列入“重大税收违法案件当事人名单”、未被“中国执行信息公开网”列入“失信被执行人名单”、未被“中国政府采购网”列入“政府采购严重违法失信行为信息记录名单”、未被“国家企业信用信息公示系统”列入网站“严重违法失信企业名单”，不在兴业银行供应商禁用/退出期内。</w:t>
            </w:r>
          </w:p>
        </w:tc>
        <w:tc>
          <w:tcPr>
            <w:tcW w:w="814"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1716"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469"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2.7  经营范围经国家行政管理部门依法批准，同时获得从事行业有效执业证明、行政许可、专业资质等证照。</w:t>
            </w:r>
          </w:p>
        </w:tc>
        <w:tc>
          <w:tcPr>
            <w:tcW w:w="814"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1716"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469"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2.8  两年内目标服务领域未出现严重安全事件。</w:t>
            </w:r>
          </w:p>
        </w:tc>
        <w:tc>
          <w:tcPr>
            <w:tcW w:w="814"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1716"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bl>
    <w:p>
      <w:pPr>
        <w:keepNext w:val="0"/>
        <w:keepLines w:val="0"/>
        <w:pageBreakBefore w:val="0"/>
        <w:widowControl w:val="0"/>
        <w:kinsoku/>
        <w:wordWrap/>
        <w:overflowPunct/>
        <w:topLinePunct/>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sz w:val="32"/>
          <w:szCs w:val="32"/>
        </w:rPr>
        <w:t>供应商须对报名信息和资料的真实性负责。如提供虚假材料，将取消报名资格并列入我行供应商黑名单。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供应商基础信息部分</w:t>
      </w:r>
    </w:p>
    <w:tbl>
      <w:tblPr>
        <w:tblStyle w:val="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9"/>
        <w:gridCol w:w="4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基本信息项</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注册资金及实缴资本（万）</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    万</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实缴资金：    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上一年度是否盈利</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公司注册所在地</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公司办公地址</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是否可以在兴业银行开立对公账户，并承诺若中标本项目，则通过兴业银行对公账户结算该项目相关费用。</w:t>
            </w:r>
            <w:r>
              <w:rPr>
                <w:rFonts w:hint="eastAsia" w:ascii="仿宋" w:hAnsi="仿宋" w:eastAsia="仿宋" w:cs="仿宋"/>
                <w:b/>
                <w:color w:val="FF0000"/>
                <w:sz w:val="28"/>
                <w:szCs w:val="28"/>
              </w:rPr>
              <w:t>（如无法在本行开户则将无法参与本行项目招标工作）</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是否已在兴业银行开立对公账户：</w:t>
            </w:r>
            <w:r>
              <w:rPr>
                <w:rFonts w:hint="eastAsia" w:ascii="仿宋" w:hAnsi="仿宋" w:eastAsia="仿宋" w:cs="仿宋"/>
                <w:b/>
                <w:sz w:val="28"/>
                <w:szCs w:val="28"/>
              </w:rPr>
              <w:t>是/否</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若未开户，是否可以承诺若中标则在兴业银行开立对公账户并通过该账户结算该项目相关费用：</w:t>
            </w:r>
            <w:r>
              <w:rPr>
                <w:rFonts w:hint="eastAsia" w:ascii="仿宋" w:hAnsi="仿宋" w:eastAsia="仿宋" w:cs="仿宋"/>
                <w:b/>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公司法人</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企业性质</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i w:val="0"/>
                <w:iCs w:val="0"/>
                <w:sz w:val="28"/>
                <w:szCs w:val="28"/>
              </w:rPr>
              <w:t>国有企业/集体所有制/私营企业/中外合资企业/股份制企业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财务指标</w:t>
            </w:r>
          </w:p>
        </w:tc>
        <w:tc>
          <w:tcPr>
            <w:tcW w:w="4563" w:type="dxa"/>
          </w:tcPr>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一、资产总额：</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二、营业收入：</w:t>
            </w:r>
            <w:r>
              <w:rPr>
                <w:rFonts w:hint="eastAsia" w:ascii="仿宋" w:hAnsi="仿宋" w:eastAsia="仿宋" w:cs="仿宋"/>
                <w:color w:val="000000" w:themeColor="text1"/>
                <w:sz w:val="28"/>
                <w:szCs w:val="28"/>
                <w:lang w:val="en-US" w:eastAsia="zh-CN"/>
                <w14:textFill>
                  <w14:solidFill>
                    <w14:schemeClr w14:val="tx1"/>
                  </w14:solidFill>
                </w14:textFill>
              </w:rPr>
              <w:t>近三年营收及合计</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三、净利润等财务指标：</w:t>
            </w:r>
            <w:r>
              <w:rPr>
                <w:rFonts w:hint="eastAsia" w:ascii="仿宋" w:hAnsi="仿宋" w:eastAsia="仿宋" w:cs="仿宋"/>
                <w:color w:val="000000" w:themeColor="text1"/>
                <w:sz w:val="28"/>
                <w:szCs w:val="28"/>
                <w:lang w:val="en-US" w:eastAsia="zh-CN"/>
                <w14:textFill>
                  <w14:solidFill>
                    <w14:schemeClr w14:val="tx1"/>
                  </w14:solidFill>
                </w14:textFill>
              </w:rPr>
              <w:t>近三年净利润及合计</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auto"/>
                <w:kern w:val="2"/>
                <w:sz w:val="28"/>
                <w:szCs w:val="28"/>
                <w:lang w:val="en-US" w:eastAsia="zh-CN" w:bidi="ar-SA"/>
              </w:rPr>
              <w:t>四、最近两年来自兴业银行集团贡献的营业收入是否高于公司营收70%（含）：是/否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企业资质、认证</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分公司名单</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仅列分公司名单，无需列子公司名单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公司员工数量</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*人（不含子公司人数）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联系人信息</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姓名：</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职务：</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手机：</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邮箱地址：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经营范围</w:t>
            </w:r>
          </w:p>
        </w:tc>
        <w:tc>
          <w:tcPr>
            <w:tcW w:w="4563" w:type="dxa"/>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负面信息</w:t>
            </w:r>
          </w:p>
        </w:tc>
        <w:tc>
          <w:tcPr>
            <w:tcW w:w="4563" w:type="dxa"/>
          </w:tcPr>
          <w:p>
            <w:pPr>
              <w:keepNext w:val="0"/>
              <w:keepLines w:val="0"/>
              <w:pageBreakBefore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en-GB" w:eastAsia="zh-CN"/>
              </w:rPr>
              <w:t>目标服务领域</w:t>
            </w:r>
            <w:r>
              <w:rPr>
                <w:rFonts w:hint="eastAsia" w:ascii="仿宋" w:hAnsi="仿宋" w:eastAsia="仿宋" w:cs="仿宋"/>
                <w:sz w:val="28"/>
                <w:szCs w:val="28"/>
                <w:lang w:val="en-US" w:eastAsia="zh-CN"/>
              </w:rPr>
              <w:t>是否</w:t>
            </w:r>
            <w:r>
              <w:rPr>
                <w:rFonts w:hint="eastAsia" w:ascii="仿宋" w:hAnsi="仿宋" w:eastAsia="仿宋" w:cs="仿宋"/>
                <w:sz w:val="28"/>
                <w:szCs w:val="28"/>
                <w:lang w:val="en-GB" w:eastAsia="zh-CN"/>
              </w:rPr>
              <w:t>出现严重安全事件。</w:t>
            </w:r>
          </w:p>
          <w:p>
            <w:pPr>
              <w:pStyle w:val="9"/>
              <w:keepNext w:val="0"/>
              <w:keepLines w:val="0"/>
              <w:pageBreakBefore w:val="0"/>
              <w:kinsoku/>
              <w:wordWrap/>
              <w:overflowPunct/>
              <w:topLine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2.提供</w:t>
            </w:r>
            <w:r>
              <w:rPr>
                <w:rFonts w:hint="eastAsia" w:ascii="仿宋" w:hAnsi="仿宋" w:eastAsia="仿宋" w:cs="仿宋"/>
                <w:sz w:val="28"/>
                <w:szCs w:val="28"/>
                <w:lang w:val="en-GB" w:eastAsia="zh-CN"/>
              </w:rPr>
              <w:t>“信用中国</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重大税收违法案件当事人名单”、“中国执行信息公开网</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失信被执行人名单”、“中国政府采购网</w:t>
            </w:r>
            <w:r>
              <w:rPr>
                <w:rFonts w:hint="eastAsia" w:ascii="仿宋" w:hAnsi="仿宋" w:eastAsia="仿宋" w:cs="仿宋"/>
                <w:sz w:val="28"/>
                <w:szCs w:val="28"/>
                <w:lang w:val="en-US" w:eastAsia="zh-CN"/>
              </w:rPr>
              <w:t>-政府采购严重违法失信行为信息记录名单</w:t>
            </w:r>
            <w:r>
              <w:rPr>
                <w:rFonts w:hint="eastAsia" w:ascii="仿宋" w:hAnsi="仿宋" w:eastAsia="仿宋" w:cs="仿宋"/>
                <w:sz w:val="28"/>
                <w:szCs w:val="28"/>
                <w:lang w:val="en-GB" w:eastAsia="zh-CN"/>
              </w:rPr>
              <w:t>”、“国家企业信用信息公示系统</w:t>
            </w:r>
            <w:r>
              <w:rPr>
                <w:rFonts w:hint="eastAsia" w:ascii="仿宋" w:hAnsi="仿宋" w:eastAsia="仿宋" w:cs="仿宋"/>
                <w:sz w:val="28"/>
                <w:szCs w:val="28"/>
                <w:lang w:val="en-US" w:eastAsia="zh-CN"/>
              </w:rPr>
              <w:t>-严重违法失信企业名单</w:t>
            </w:r>
            <w:r>
              <w:rPr>
                <w:rFonts w:hint="eastAsia" w:ascii="仿宋" w:hAnsi="仿宋" w:eastAsia="仿宋" w:cs="仿宋"/>
                <w:sz w:val="28"/>
                <w:szCs w:val="28"/>
                <w:lang w:val="en-GB" w:eastAsia="zh-CN"/>
              </w:rPr>
              <w:t>”平台</w:t>
            </w:r>
            <w:r>
              <w:rPr>
                <w:rFonts w:hint="eastAsia" w:ascii="仿宋" w:hAnsi="仿宋" w:eastAsia="仿宋" w:cs="仿宋"/>
                <w:sz w:val="28"/>
                <w:szCs w:val="28"/>
                <w:lang w:val="en-US" w:eastAsia="zh-CN"/>
              </w:rPr>
              <w:t>查询截图。</w:t>
            </w:r>
          </w:p>
        </w:tc>
      </w:tr>
    </w:tbl>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请提供：</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公司章程（如有）</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营业执照（事业单位法人证书或类似执业许可证）</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公司法人身份证的原件扫描件</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lang w:val="en-US" w:eastAsia="zh-CN"/>
          <w14:textFill>
            <w14:solidFill>
              <w14:schemeClr w14:val="tx1"/>
            </w14:solidFill>
          </w14:textFill>
        </w:rPr>
        <w:t>4.提供国家企业信用信息公示系统查询，为存续、在营、开业、在册、登记成立等正常企业状态的截图。</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5.近三年经公司内部审核流程审定的</w:t>
      </w:r>
      <w:r>
        <w:rPr>
          <w:rFonts w:hint="eastAsia" w:ascii="仿宋" w:hAnsi="仿宋" w:eastAsia="仿宋" w:cs="仿宋"/>
          <w:color w:val="000000" w:themeColor="text1"/>
          <w:sz w:val="32"/>
          <w:szCs w:val="32"/>
          <w:highlight w:val="none"/>
          <w14:textFill>
            <w14:solidFill>
              <w14:schemeClr w14:val="tx1"/>
            </w14:solidFill>
          </w14:textFill>
        </w:rPr>
        <w:t>财务会计报表（财务会计报表需至少包含资产负债表、现金流量表和利润表）</w:t>
      </w:r>
      <w:r>
        <w:rPr>
          <w:rFonts w:hint="eastAsia" w:ascii="仿宋" w:hAnsi="仿宋" w:eastAsia="仿宋" w:cs="仿宋"/>
          <w:color w:val="000000" w:themeColor="text1"/>
          <w:sz w:val="32"/>
          <w:szCs w:val="32"/>
          <w:highlight w:val="none"/>
          <w:lang w:val="en-US" w:eastAsia="zh-CN"/>
          <w14:textFill>
            <w14:solidFill>
              <w14:schemeClr w14:val="tx1"/>
            </w14:solidFill>
          </w14:textFill>
        </w:rPr>
        <w:t>原件扫描件</w:t>
      </w:r>
      <w:r>
        <w:rPr>
          <w:rFonts w:hint="eastAsia" w:ascii="仿宋" w:hAnsi="仿宋" w:eastAsia="仿宋" w:cs="仿宋"/>
          <w:color w:val="000000" w:themeColor="text1"/>
          <w:sz w:val="32"/>
          <w:szCs w:val="32"/>
          <w:highlight w:val="none"/>
          <w14:textFill>
            <w14:solidFill>
              <w14:schemeClr w14:val="tx1"/>
            </w14:solidFill>
          </w14:textFill>
        </w:rPr>
        <w:t>或有效的企业资信证明材料</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证明材料不全不予认可</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6.提供</w:t>
      </w:r>
      <w:r>
        <w:rPr>
          <w:rFonts w:hint="eastAsia" w:ascii="仿宋" w:hAnsi="仿宋" w:eastAsia="仿宋" w:cs="仿宋"/>
          <w:color w:val="000000" w:themeColor="text1"/>
          <w:sz w:val="32"/>
          <w:szCs w:val="32"/>
          <w:highlight w:val="none"/>
          <w:lang w:val="en-GB" w:eastAsia="zh-CN"/>
          <w14:textFill>
            <w14:solidFill>
              <w14:schemeClr w14:val="tx1"/>
            </w14:solidFill>
          </w14:textFill>
        </w:rPr>
        <w:t>“信用中国</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重大税收违法案件当事人名单”、“中国执行信息公开网</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失信被执行人名单”、“中国政府采购网</w:t>
      </w:r>
      <w:r>
        <w:rPr>
          <w:rFonts w:hint="eastAsia" w:ascii="仿宋" w:hAnsi="仿宋" w:eastAsia="仿宋" w:cs="仿宋"/>
          <w:color w:val="000000" w:themeColor="text1"/>
          <w:sz w:val="32"/>
          <w:szCs w:val="32"/>
          <w:highlight w:val="none"/>
          <w:lang w:val="en-US" w:eastAsia="zh-CN"/>
          <w14:textFill>
            <w14:solidFill>
              <w14:schemeClr w14:val="tx1"/>
            </w14:solidFill>
          </w14:textFill>
        </w:rPr>
        <w:t>-政府采购严重违法失信行为信息记录名单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”、“国家企业信用信息公示系统</w:t>
      </w:r>
      <w:r>
        <w:rPr>
          <w:rFonts w:hint="eastAsia" w:ascii="仿宋" w:hAnsi="仿宋" w:eastAsia="仿宋" w:cs="仿宋"/>
          <w:color w:val="000000" w:themeColor="text1"/>
          <w:sz w:val="32"/>
          <w:szCs w:val="32"/>
          <w:highlight w:val="none"/>
          <w:lang w:val="en-US" w:eastAsia="zh-CN"/>
          <w14:textFill>
            <w14:solidFill>
              <w14:schemeClr w14:val="tx1"/>
            </w14:solidFill>
          </w14:textFill>
        </w:rPr>
        <w:t>-严重违法失信企业名单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”平台</w:t>
      </w:r>
      <w:r>
        <w:rPr>
          <w:rFonts w:hint="eastAsia" w:ascii="仿宋" w:hAnsi="仿宋" w:eastAsia="仿宋" w:cs="仿宋"/>
          <w:color w:val="000000" w:themeColor="text1"/>
          <w:sz w:val="32"/>
          <w:szCs w:val="32"/>
          <w:highlight w:val="none"/>
          <w:lang w:val="en-US" w:eastAsia="zh-CN"/>
          <w14:textFill>
            <w14:solidFill>
              <w14:schemeClr w14:val="tx1"/>
            </w14:solidFill>
          </w14:textFill>
        </w:rPr>
        <w:t>查询截图。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与本项目相关的案例情况</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9"/>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2022年1月1日起（近三年）至今合作开展相似的项目外包服务案例</w:t>
      </w:r>
      <w:r>
        <w:rPr>
          <w:rFonts w:hint="eastAsia" w:ascii="仿宋" w:hAnsi="仿宋" w:eastAsia="仿宋" w:cs="仿宋"/>
          <w:b w:val="0"/>
          <w:bCs w:val="0"/>
          <w:color w:val="000000" w:themeColor="text1"/>
          <w:sz w:val="32"/>
          <w:szCs w:val="32"/>
          <w:lang w:eastAsia="zh-CN"/>
          <w14:textFill>
            <w14:solidFill>
              <w14:schemeClr w14:val="tx1"/>
            </w14:solidFill>
          </w14:textFill>
        </w:rPr>
        <w:t>的</w:t>
      </w:r>
      <w:r>
        <w:rPr>
          <w:rFonts w:hint="eastAsia" w:ascii="仿宋" w:hAnsi="仿宋" w:eastAsia="仿宋" w:cs="仿宋"/>
          <w:b w:val="0"/>
          <w:bCs w:val="0"/>
          <w:color w:val="000000" w:themeColor="text1"/>
          <w:sz w:val="32"/>
          <w:szCs w:val="32"/>
          <w14:textFill>
            <w14:solidFill>
              <w14:schemeClr w14:val="tx1"/>
            </w14:solidFill>
          </w14:textFill>
        </w:rPr>
        <w:t>情况：</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2497"/>
        <w:gridCol w:w="1721"/>
        <w:gridCol w:w="1877"/>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70"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序号</w:t>
            </w:r>
          </w:p>
        </w:tc>
        <w:tc>
          <w:tcPr>
            <w:tcW w:w="1465"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甲方</w:t>
            </w:r>
          </w:p>
        </w:tc>
        <w:tc>
          <w:tcPr>
            <w:tcW w:w="1010"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合同名称</w:t>
            </w:r>
          </w:p>
        </w:tc>
        <w:tc>
          <w:tcPr>
            <w:tcW w:w="1101"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案例简介</w:t>
            </w:r>
          </w:p>
        </w:tc>
        <w:tc>
          <w:tcPr>
            <w:tcW w:w="852"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465"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例：建设银行</w:t>
            </w:r>
            <w:r>
              <w:rPr>
                <w:rFonts w:hint="eastAsia" w:ascii="仿宋" w:hAnsi="仿宋" w:eastAsia="仿宋" w:cs="仿宋"/>
                <w:sz w:val="28"/>
                <w:szCs w:val="28"/>
              </w:rPr>
              <w:br w:type="textWrapping"/>
            </w:r>
            <w:r>
              <w:rPr>
                <w:rFonts w:hint="eastAsia" w:ascii="仿宋" w:hAnsi="仿宋" w:eastAsia="仿宋" w:cs="仿宋"/>
                <w:sz w:val="28"/>
                <w:szCs w:val="28"/>
              </w:rPr>
              <w:t>（甲方全称）</w:t>
            </w: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查见本文档第四部分第*页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465"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65"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65"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bl>
    <w:p>
      <w:pPr>
        <w:keepNext w:val="0"/>
        <w:keepLines w:val="0"/>
        <w:pageBreakBefore w:val="0"/>
        <w:kinsoku/>
        <w:wordWrap/>
        <w:overflowPunct/>
        <w:autoSpaceDE/>
        <w:autoSpaceDN/>
        <w:bidi w:val="0"/>
        <w:adjustRightInd/>
        <w:snapToGrid/>
        <w:spacing w:line="579" w:lineRule="exact"/>
        <w:ind w:firstLine="643" w:firstLineChars="200"/>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在此根据上述合所列合同清单依次附录合同证明材料。需包含合同首尾页，内容页及服务内容证明页的扫描件。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详细介绍</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公司简介</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color w:val="0000FF"/>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包括但不限于：公司全称，统一社会信用代码，公司类型，注册资本，法人代表姓名，企业网址，纳税人类型，员工数量，公司通讯地址及邮编，联系人及职务，联系人手机号码及电子邮箱地址，公司主营业务，分公司或办事处的详细地址和联系方式。</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（二）公司资质、认证等材料（</w:t>
      </w:r>
      <w:r>
        <w:rPr>
          <w:rFonts w:hint="eastAsia" w:ascii="楷体" w:hAnsi="楷体" w:eastAsia="楷体" w:cs="楷体"/>
          <w:b w:val="0"/>
          <w:bCs w:val="0"/>
          <w:sz w:val="32"/>
          <w:szCs w:val="32"/>
          <w:lang w:val="en-US" w:eastAsia="zh-CN"/>
        </w:rPr>
        <w:t>扫描件</w:t>
      </w:r>
      <w:r>
        <w:rPr>
          <w:rFonts w:hint="eastAsia" w:ascii="楷体" w:hAnsi="楷体" w:eastAsia="楷体" w:cs="楷体"/>
          <w:b w:val="0"/>
          <w:bCs w:val="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包括但不限于：</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1.行业资质认证。例如：质量管理体系认证，环境管理体系认证，职业健康安全管理体系认证等。</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2.产品认证。如3C 认证，节能环保产品认证等。</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3.技术能力介绍：①公司拥有的自主知识产权名称、数量（须提供扫描件作为证明），②行业内龙头企业排名或优质企业资质认证材料。</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（三）与兴业银行历史合作情况</w:t>
      </w:r>
    </w:p>
    <w:tbl>
      <w:tblPr>
        <w:tblStyle w:val="6"/>
        <w:tblpPr w:leftFromText="180" w:rightFromText="180" w:vertAnchor="text" w:horzAnchor="page" w:tblpX="1894" w:tblpY="34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7"/>
        <w:gridCol w:w="1691"/>
        <w:gridCol w:w="1265"/>
        <w:gridCol w:w="1233"/>
        <w:gridCol w:w="1276"/>
        <w:gridCol w:w="2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
                <w:bCs/>
                <w:i w:val="0"/>
                <w:iCs w:val="0"/>
                <w:color w:val="000000"/>
                <w:sz w:val="28"/>
                <w:szCs w:val="28"/>
                <w:u w:val="none"/>
              </w:rPr>
            </w:pPr>
            <w:r>
              <w:rPr>
                <w:rFonts w:hint="eastAsia" w:ascii="仿宋" w:hAnsi="仿宋" w:eastAsia="仿宋" w:cs="仿宋"/>
                <w:color w:val="000000" w:themeColor="text1"/>
                <w:sz w:val="32"/>
                <w:szCs w:val="32"/>
                <w:lang w:val="en-US" w:eastAsia="zh-CN"/>
                <w14:textFill>
                  <w14:solidFill>
                    <w14:schemeClr w14:val="tx1"/>
                  </w14:solidFill>
                </w14:textFill>
              </w:rPr>
              <w:t>提供与兴业银行近两年采购合作情况，并说明是否在与兴业银行的历史合作期间出现违约或严重过失行为的情况说明。</w:t>
            </w:r>
            <w:r>
              <w:rPr>
                <w:rFonts w:hint="eastAsia" w:ascii="仿宋" w:hAnsi="仿宋" w:eastAsia="仿宋" w:cs="仿宋"/>
                <w:b/>
                <w:bCs/>
                <w:i w:val="0"/>
                <w:iCs w:val="0"/>
                <w:color w:val="000000"/>
                <w:kern w:val="0"/>
                <w:sz w:val="28"/>
                <w:szCs w:val="28"/>
                <w:u w:val="none"/>
                <w:lang w:val="en-US" w:eastAsia="zh-CN" w:bidi="ar"/>
              </w:rPr>
              <w:t>与兴业银行合作情况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合作起止时间</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合同名称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合同编号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兴业银行机构名称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与兴业银行历史合作期间出现违约或严重过失行为的情况说明（不限于近两年）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bl>
    <w:p>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宋体" w:hAnsi="宋体" w:eastAsia="宋体" w:cs="宋体"/>
          <w:b/>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6279D"/>
    <w:rsid w:val="0DED7F9F"/>
    <w:rsid w:val="13DD0D7A"/>
    <w:rsid w:val="14854C8C"/>
    <w:rsid w:val="1A21548C"/>
    <w:rsid w:val="288650BC"/>
    <w:rsid w:val="2A997437"/>
    <w:rsid w:val="2C1C09ED"/>
    <w:rsid w:val="365B1D40"/>
    <w:rsid w:val="3BC7429E"/>
    <w:rsid w:val="3D6F5245"/>
    <w:rsid w:val="424345B2"/>
    <w:rsid w:val="503B1E49"/>
    <w:rsid w:val="5966279D"/>
    <w:rsid w:val="79330017"/>
    <w:rsid w:val="7F7B98EB"/>
    <w:rsid w:val="FFBFDA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HTML Preformatted"/>
    <w:basedOn w:val="1"/>
    <w:semiHidden/>
    <w:qFormat/>
    <w:uiPriority w:val="0"/>
    <w:pPr>
      <w:topLinePunct w:val="0"/>
    </w:pPr>
    <w:rPr>
      <w:rFonts w:ascii="Courier New" w:hAnsi="Courier New" w:cs="Courier New"/>
      <w:sz w:val="20"/>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首行缩进 21"/>
    <w:basedOn w:val="10"/>
    <w:qFormat/>
    <w:uiPriority w:val="0"/>
    <w:pPr>
      <w:widowControl/>
      <w:ind w:firstLine="420"/>
    </w:pPr>
    <w:rPr>
      <w:szCs w:val="20"/>
    </w:rPr>
  </w:style>
  <w:style w:type="paragraph" w:customStyle="1" w:styleId="10">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12</TotalTime>
  <ScaleCrop>false</ScaleCrop>
  <LinksUpToDate>false</LinksUpToDate>
  <CharactersWithSpaces>0</CharactersWithSpaces>
  <Application>WPS Office_11.8.2.10164_F1E327BC-269C-435d-A152-05C5408002CA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2024-11-21T19:06:00Z</dcterms:created>
  <dc:creator>石瑜</dc:creator>
  <cp:lastModifiedBy>cibadmin</cp:lastModifiedBy>
  <dcterms:modified xsi:type="dcterms:W3CDTF">2025-08-18T03:38:57Z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