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right="-58"/>
        <w:jc w:val="right"/>
        <w:rPr>
          <w:rFonts w:ascii="方正小标宋_GBK" w:eastAsia="方正小标宋_GBK"/>
          <w:color w:val="000000" w:themeColor="text1"/>
          <w:sz w:val="30"/>
          <w:szCs w:val="30"/>
          <w:highlight w:val="none"/>
          <w14:textFill>
            <w14:solidFill>
              <w14:schemeClr w14:val="tx1"/>
            </w14:solidFill>
          </w14:textFill>
        </w:rPr>
      </w:pPr>
      <w:bookmarkStart w:id="94" w:name="_GoBack"/>
      <w:r>
        <w:rPr>
          <w:rFonts w:hint="eastAsia" w:ascii="方正小标宋_GBK" w:eastAsia="方正小标宋_GBK"/>
          <w:color w:val="000000" w:themeColor="text1"/>
          <w:sz w:val="30"/>
          <w:szCs w:val="30"/>
          <w:highlight w:val="none"/>
          <w14:textFill>
            <w14:solidFill>
              <w14:schemeClr w14:val="tx1"/>
            </w14:solidFill>
          </w14:textFill>
        </w:rPr>
        <w:t>范本编号：SGCC-01-FWGK(</w:t>
      </w:r>
      <w:r>
        <w:rPr>
          <w:rFonts w:hint="eastAsia" w:ascii="方正小标宋_GBK" w:eastAsia="方正小标宋_GBK"/>
          <w:color w:val="000000" w:themeColor="text1"/>
          <w:sz w:val="30"/>
          <w:szCs w:val="30"/>
          <w:highlight w:val="none"/>
          <w:shd w:val="clear" w:fill="FFFFFF" w:themeFill="background1"/>
          <w14:textFill>
            <w14:solidFill>
              <w14:schemeClr w14:val="tx1"/>
            </w14:solidFill>
          </w14:textFill>
        </w:rPr>
        <w:t>202</w:t>
      </w:r>
      <w:r>
        <w:rPr>
          <w:rFonts w:hint="eastAsia" w:ascii="方正小标宋_GBK" w:eastAsia="方正小标宋_GBK"/>
          <w:color w:val="000000" w:themeColor="text1"/>
          <w:sz w:val="30"/>
          <w:szCs w:val="30"/>
          <w:highlight w:val="none"/>
          <w:shd w:val="clear" w:fill="FFFFFF" w:themeFill="background1"/>
          <w:lang w:val="en-US" w:eastAsia="zh-CN"/>
          <w14:textFill>
            <w14:solidFill>
              <w14:schemeClr w14:val="tx1"/>
            </w14:solidFill>
          </w14:textFill>
        </w:rPr>
        <w:t>5</w:t>
      </w:r>
      <w:r>
        <w:rPr>
          <w:rFonts w:hint="eastAsia" w:ascii="方正小标宋_GBK" w:eastAsia="方正小标宋_GBK"/>
          <w:color w:val="000000" w:themeColor="text1"/>
          <w:sz w:val="30"/>
          <w:szCs w:val="30"/>
          <w:highlight w:val="none"/>
          <w14:textFill>
            <w14:solidFill>
              <w14:schemeClr w14:val="tx1"/>
            </w14:solidFill>
          </w14:textFill>
        </w:rPr>
        <w:t>)</w:t>
      </w:r>
    </w:p>
    <w:p>
      <w:pPr>
        <w:spacing w:line="360" w:lineRule="auto"/>
        <w:ind w:right="-58"/>
        <w:jc w:val="right"/>
        <w:rPr>
          <w:rFonts w:ascii="方正小标宋_GBK" w:eastAsia="方正小标宋_GBK"/>
          <w:color w:val="000000" w:themeColor="text1"/>
          <w:sz w:val="30"/>
          <w:szCs w:val="30"/>
          <w:highlight w:val="none"/>
          <w14:textFill>
            <w14:solidFill>
              <w14:schemeClr w14:val="tx1"/>
            </w14:solidFill>
          </w14:textFill>
        </w:rPr>
      </w:pPr>
    </w:p>
    <w:p>
      <w:pPr>
        <w:spacing w:line="360" w:lineRule="auto"/>
        <w:ind w:right="-58"/>
        <w:jc w:val="right"/>
        <w:rPr>
          <w:rFonts w:ascii="方正小标宋_GBK" w:eastAsia="方正小标宋_GBK"/>
          <w:color w:val="000000" w:themeColor="text1"/>
          <w:sz w:val="30"/>
          <w:szCs w:val="30"/>
          <w:highlight w:val="none"/>
          <w14:textFill>
            <w14:solidFill>
              <w14:schemeClr w14:val="tx1"/>
            </w14:solidFill>
          </w14:textFill>
        </w:rPr>
      </w:pPr>
    </w:p>
    <w:p>
      <w:pPr>
        <w:spacing w:line="360" w:lineRule="auto"/>
        <w:ind w:right="-58"/>
        <w:jc w:val="right"/>
        <w:rPr>
          <w:rFonts w:ascii="方正小标宋_GBK" w:eastAsia="方正小标宋_GBK"/>
          <w:color w:val="000000" w:themeColor="text1"/>
          <w:sz w:val="30"/>
          <w:szCs w:val="30"/>
          <w:highlight w:val="none"/>
          <w14:textFill>
            <w14:solidFill>
              <w14:schemeClr w14:val="tx1"/>
            </w14:solidFill>
          </w14:textFill>
        </w:rPr>
      </w:pPr>
    </w:p>
    <w:p>
      <w:pPr>
        <w:snapToGrid w:val="0"/>
        <w:spacing w:line="800" w:lineRule="exact"/>
        <w:jc w:val="center"/>
        <w:rPr>
          <w:rFonts w:hint="default" w:ascii="方正小标宋_GBK" w:eastAsia="方正小标宋_GBK"/>
          <w:b/>
          <w:color w:val="000000"/>
          <w:sz w:val="44"/>
          <w:szCs w:val="44"/>
          <w:highlight w:val="none"/>
          <w:lang w:val="en-US" w:eastAsia="zh-CN"/>
        </w:rPr>
      </w:pPr>
      <w:r>
        <w:rPr>
          <w:rFonts w:hint="eastAsia" w:ascii="方正小标宋_GBK" w:eastAsia="方正小标宋_GBK"/>
          <w:b/>
          <w:color w:val="000000"/>
          <w:sz w:val="44"/>
          <w:szCs w:val="44"/>
          <w:highlight w:val="none"/>
        </w:rPr>
        <w:t>国网东北分部2025年第</w:t>
      </w:r>
      <w:r>
        <w:rPr>
          <w:rFonts w:hint="eastAsia" w:ascii="方正小标宋_GBK" w:eastAsia="方正小标宋_GBK"/>
          <w:b/>
          <w:color w:val="000000"/>
          <w:sz w:val="44"/>
          <w:szCs w:val="44"/>
          <w:highlight w:val="none"/>
          <w:lang w:val="en-US" w:eastAsia="zh-CN"/>
        </w:rPr>
        <w:t>五</w:t>
      </w:r>
      <w:r>
        <w:rPr>
          <w:rFonts w:hint="eastAsia" w:ascii="方正小标宋_GBK" w:eastAsia="方正小标宋_GBK"/>
          <w:b/>
          <w:color w:val="000000"/>
          <w:sz w:val="44"/>
          <w:szCs w:val="44"/>
          <w:highlight w:val="none"/>
        </w:rPr>
        <w:t>次服务公开招标批次采购</w:t>
      </w:r>
    </w:p>
    <w:p>
      <w:pPr>
        <w:snapToGrid w:val="0"/>
        <w:spacing w:line="800" w:lineRule="exact"/>
        <w:jc w:val="center"/>
        <w:rPr>
          <w:rFonts w:ascii="方正小标宋_GBK" w:eastAsia="方正小标宋_GBK"/>
          <w:b/>
          <w:color w:val="000000"/>
          <w:sz w:val="44"/>
          <w:szCs w:val="44"/>
          <w:highlight w:val="none"/>
        </w:rPr>
      </w:pPr>
      <w:r>
        <w:rPr>
          <w:rFonts w:hint="eastAsia" w:ascii="方正小标宋_GBK" w:eastAsia="方正小标宋_GBK"/>
          <w:b/>
          <w:color w:val="000000"/>
          <w:sz w:val="44"/>
          <w:szCs w:val="44"/>
          <w:highlight w:val="none"/>
          <w:lang w:val="en-US" w:eastAsia="zh-CN"/>
        </w:rPr>
        <w:t>招标公告</w:t>
      </w:r>
    </w:p>
    <w:p>
      <w:pPr>
        <w:snapToGrid w:val="0"/>
        <w:spacing w:line="700" w:lineRule="exact"/>
        <w:jc w:val="center"/>
        <w:rPr>
          <w:rFonts w:ascii="方正小标宋_GBK" w:eastAsia="方正小标宋_GBK"/>
          <w:b/>
          <w:color w:val="000000" w:themeColor="text1"/>
          <w:sz w:val="44"/>
          <w:szCs w:val="44"/>
          <w:highlight w:val="none"/>
          <w14:textFill>
            <w14:solidFill>
              <w14:schemeClr w14:val="tx1"/>
            </w14:solidFill>
          </w14:textFill>
        </w:rPr>
      </w:pPr>
      <w:r>
        <w:rPr>
          <w:rFonts w:hint="eastAsia" w:ascii="方正小标宋_GBK" w:eastAsia="方正小标宋_GBK"/>
          <w:b/>
          <w:color w:val="000000" w:themeColor="text1"/>
          <w:sz w:val="44"/>
          <w:szCs w:val="44"/>
          <w:highlight w:val="none"/>
          <w14:textFill>
            <w14:solidFill>
              <w14:schemeClr w14:val="tx1"/>
            </w14:solidFill>
          </w14:textFill>
        </w:rPr>
        <w:t>（</w:t>
      </w:r>
      <w:r>
        <w:rPr>
          <w:rFonts w:hint="eastAsia" w:ascii="方正小标宋_GBK" w:eastAsia="方正小标宋_GBK"/>
          <w:b/>
          <w:color w:val="000000"/>
          <w:sz w:val="44"/>
          <w:szCs w:val="44"/>
          <w:highlight w:val="none"/>
          <w:shd w:val="clear" w:fill="FFFFFF" w:themeFill="background1"/>
        </w:rPr>
        <w:t>392</w:t>
      </w:r>
      <w:r>
        <w:rPr>
          <w:rFonts w:hint="eastAsia" w:ascii="方正小标宋_GBK" w:eastAsia="方正小标宋_GBK"/>
          <w:b/>
          <w:color w:val="000000"/>
          <w:sz w:val="44"/>
          <w:szCs w:val="44"/>
          <w:highlight w:val="none"/>
          <w:shd w:val="clear" w:fill="FFFFFF" w:themeFill="background1"/>
          <w:lang w:val="en-US" w:eastAsia="zh-CN"/>
        </w:rPr>
        <w:t>552</w:t>
      </w:r>
      <w:r>
        <w:rPr>
          <w:rFonts w:hint="eastAsia" w:ascii="方正小标宋_GBK" w:eastAsia="方正小标宋_GBK"/>
          <w:b/>
          <w:color w:val="000000" w:themeColor="text1"/>
          <w:sz w:val="44"/>
          <w:szCs w:val="44"/>
          <w:highlight w:val="none"/>
          <w14:textFill>
            <w14:solidFill>
              <w14:schemeClr w14:val="tx1"/>
            </w14:solidFill>
          </w14:textFill>
        </w:rPr>
        <w:t>）</w:t>
      </w:r>
    </w:p>
    <w:p>
      <w:pPr>
        <w:snapToGrid w:val="0"/>
        <w:spacing w:line="700" w:lineRule="exact"/>
        <w:jc w:val="center"/>
        <w:rPr>
          <w:rFonts w:ascii="方正小标宋_GBK" w:eastAsia="方正小标宋_GBK"/>
          <w:b/>
          <w:color w:val="000000" w:themeColor="text1"/>
          <w:sz w:val="44"/>
          <w:szCs w:val="44"/>
          <w:highlight w:val="none"/>
          <w14:textFill>
            <w14:solidFill>
              <w14:schemeClr w14:val="tx1"/>
            </w14:solidFill>
          </w14:textFill>
        </w:rPr>
      </w:pPr>
    </w:p>
    <w:p>
      <w:pPr>
        <w:snapToGrid w:val="0"/>
        <w:spacing w:line="360" w:lineRule="auto"/>
        <w:ind w:left="1642"/>
        <w:rPr>
          <w:rFonts w:ascii="方正小标宋_GBK" w:eastAsia="方正小标宋_GBK"/>
          <w:b/>
          <w:color w:val="000000" w:themeColor="text1"/>
          <w:sz w:val="32"/>
          <w:szCs w:val="32"/>
          <w:highlight w:val="none"/>
          <w14:textFill>
            <w14:solidFill>
              <w14:schemeClr w14:val="tx1"/>
            </w14:solidFill>
          </w14:textFill>
        </w:rPr>
      </w:pPr>
    </w:p>
    <w:p>
      <w:pPr>
        <w:snapToGrid w:val="0"/>
        <w:spacing w:line="360" w:lineRule="auto"/>
        <w:ind w:left="1642"/>
        <w:rPr>
          <w:rFonts w:ascii="方正小标宋_GBK" w:eastAsia="方正小标宋_GBK"/>
          <w:b/>
          <w:color w:val="000000" w:themeColor="text1"/>
          <w:sz w:val="32"/>
          <w:szCs w:val="32"/>
          <w:highlight w:val="none"/>
          <w14:textFill>
            <w14:solidFill>
              <w14:schemeClr w14:val="tx1"/>
            </w14:solidFill>
          </w14:textFill>
        </w:rPr>
      </w:pPr>
    </w:p>
    <w:p>
      <w:pPr>
        <w:snapToGrid w:val="0"/>
        <w:spacing w:line="360" w:lineRule="auto"/>
        <w:ind w:left="924"/>
        <w:rPr>
          <w:rFonts w:ascii="方正小标宋_GBK" w:eastAsia="方正小标宋_GBK"/>
          <w:b/>
          <w:color w:val="000000" w:themeColor="text1"/>
          <w:sz w:val="18"/>
          <w:szCs w:val="32"/>
          <w:highlight w:val="none"/>
          <w14:textFill>
            <w14:solidFill>
              <w14:schemeClr w14:val="tx1"/>
            </w14:solidFill>
          </w14:textFill>
        </w:rPr>
      </w:pPr>
    </w:p>
    <w:p>
      <w:pPr>
        <w:adjustRightInd w:val="0"/>
        <w:snapToGrid w:val="0"/>
        <w:spacing w:line="360" w:lineRule="auto"/>
        <w:jc w:val="center"/>
        <w:rPr>
          <w:rFonts w:ascii="黑体" w:eastAsia="黑体"/>
          <w:color w:val="000000" w:themeColor="text1"/>
          <w:sz w:val="30"/>
          <w:szCs w:val="32"/>
          <w:highlight w:val="none"/>
          <w14:textFill>
            <w14:solidFill>
              <w14:schemeClr w14:val="tx1"/>
            </w14:solidFill>
          </w14:textFill>
        </w:rPr>
      </w:pPr>
      <w:r>
        <w:rPr>
          <w:rFonts w:hint="eastAsia" w:ascii="黑体" w:eastAsia="黑体"/>
          <w:color w:val="000000"/>
          <w:sz w:val="30"/>
          <w:szCs w:val="32"/>
          <w:highlight w:val="none"/>
        </w:rPr>
        <w:t>国家电网公司东北分部</w:t>
      </w:r>
    </w:p>
    <w:p>
      <w:pPr>
        <w:jc w:val="center"/>
        <w:rPr>
          <w:rFonts w:ascii="黑体" w:eastAsia="黑体"/>
          <w:color w:val="000000" w:themeColor="text1"/>
          <w:sz w:val="30"/>
          <w:szCs w:val="32"/>
          <w:highlight w:val="none"/>
          <w14:textFill>
            <w14:solidFill>
              <w14:schemeClr w14:val="tx1"/>
            </w14:solidFill>
          </w14:textFill>
        </w:rPr>
        <w:sectPr>
          <w:headerReference r:id="rId5" w:type="first"/>
          <w:footerReference r:id="rId8" w:type="first"/>
          <w:headerReference r:id="rId3" w:type="default"/>
          <w:footerReference r:id="rId6" w:type="default"/>
          <w:headerReference r:id="rId4" w:type="even"/>
          <w:footerReference r:id="rId7" w:type="even"/>
          <w:pgSz w:w="11850" w:h="16783"/>
          <w:pgMar w:top="1134" w:right="1800" w:bottom="1134" w:left="1800" w:header="0" w:footer="841" w:gutter="0"/>
          <w:pgNumType w:start="0"/>
          <w:cols w:space="720" w:num="1"/>
          <w:titlePg/>
          <w:docGrid w:linePitch="286" w:charSpace="0"/>
        </w:sectPr>
      </w:pPr>
      <w:r>
        <w:rPr>
          <w:rFonts w:hint="eastAsia" w:ascii="黑体" w:eastAsia="黑体"/>
          <w:color w:val="000000" w:themeColor="text1"/>
          <w:sz w:val="30"/>
          <w:szCs w:val="32"/>
          <w:highlight w:val="none"/>
          <w:shd w:val="clear" w:fill="FFFFFF" w:themeFill="background1"/>
          <w14:textFill>
            <w14:solidFill>
              <w14:schemeClr w14:val="tx1"/>
            </w14:solidFill>
          </w14:textFill>
        </w:rPr>
        <w:t>二〇二</w:t>
      </w:r>
      <w:r>
        <w:rPr>
          <w:rFonts w:hint="eastAsia" w:ascii="黑体" w:eastAsia="黑体"/>
          <w:color w:val="000000" w:themeColor="text1"/>
          <w:sz w:val="30"/>
          <w:szCs w:val="32"/>
          <w:highlight w:val="none"/>
          <w:shd w:val="clear" w:fill="FFFFFF" w:themeFill="background1"/>
          <w:lang w:val="en-US" w:eastAsia="zh-CN"/>
          <w14:textFill>
            <w14:solidFill>
              <w14:schemeClr w14:val="tx1"/>
            </w14:solidFill>
          </w14:textFill>
        </w:rPr>
        <w:t>五</w:t>
      </w:r>
      <w:r>
        <w:rPr>
          <w:rFonts w:hint="eastAsia" w:ascii="黑体" w:eastAsia="黑体"/>
          <w:color w:val="000000" w:themeColor="text1"/>
          <w:sz w:val="30"/>
          <w:szCs w:val="32"/>
          <w:highlight w:val="none"/>
          <w14:textFill>
            <w14:solidFill>
              <w14:schemeClr w14:val="tx1"/>
            </w14:solidFill>
          </w14:textFill>
        </w:rPr>
        <w:t>年</w:t>
      </w:r>
    </w:p>
    <w:p>
      <w:pPr>
        <w:keepNext w:val="0"/>
        <w:keepLines w:val="0"/>
        <w:pageBreakBefore w:val="0"/>
        <w:widowControl w:val="0"/>
        <w:tabs>
          <w:tab w:val="left" w:pos="3783"/>
          <w:tab w:val="center" w:pos="4654"/>
        </w:tabs>
        <w:kinsoku/>
        <w:wordWrap/>
        <w:overflowPunct/>
        <w:topLinePunct w:val="0"/>
        <w:autoSpaceDE/>
        <w:autoSpaceDN/>
        <w:bidi w:val="0"/>
        <w:adjustRightInd w:val="0"/>
        <w:snapToGrid w:val="0"/>
        <w:ind w:firstLine="0"/>
        <w:jc w:val="center"/>
        <w:textAlignment w:val="auto"/>
        <w:outlineLvl w:val="0"/>
        <w:rPr>
          <w:rFonts w:ascii="黑体" w:eastAsia="黑体"/>
          <w:b/>
          <w:color w:val="000000"/>
          <w:sz w:val="44"/>
          <w:szCs w:val="44"/>
          <w:highlight w:val="none"/>
        </w:rPr>
      </w:pPr>
      <w:bookmarkStart w:id="0" w:name="_Toc62551528"/>
      <w:bookmarkStart w:id="1" w:name="_Toc5823"/>
      <w:bookmarkStart w:id="2" w:name="_Toc22863"/>
      <w:bookmarkStart w:id="3" w:name="_Toc7051"/>
      <w:r>
        <w:rPr>
          <w:rFonts w:hint="eastAsia" w:ascii="黑体" w:eastAsia="黑体"/>
          <w:b/>
          <w:color w:val="000000"/>
          <w:sz w:val="44"/>
          <w:szCs w:val="44"/>
          <w:highlight w:val="none"/>
        </w:rPr>
        <w:t>目  录</w:t>
      </w:r>
    </w:p>
    <w:p>
      <w:pPr>
        <w:adjustRightInd w:val="0"/>
        <w:spacing w:line="360" w:lineRule="auto"/>
        <w:ind w:firstLine="880"/>
        <w:jc w:val="center"/>
        <w:rPr>
          <w:rFonts w:ascii="黑体" w:eastAsia="黑体"/>
          <w:color w:val="000000"/>
          <w:sz w:val="44"/>
          <w:highlight w:val="none"/>
        </w:rPr>
      </w:pPr>
    </w:p>
    <w:p>
      <w:pPr>
        <w:pStyle w:val="21"/>
        <w:adjustRightInd w:val="0"/>
        <w:spacing w:line="360" w:lineRule="auto"/>
        <w:ind w:left="420" w:leftChars="200" w:firstLine="0"/>
        <w:rPr>
          <w:rFonts w:ascii="黑体" w:eastAsia="黑体"/>
          <w:color w:val="000000"/>
          <w:sz w:val="36"/>
          <w:szCs w:val="36"/>
          <w:highlight w:val="none"/>
        </w:rPr>
      </w:pPr>
      <w:r>
        <w:rPr>
          <w:rFonts w:hint="eastAsia" w:ascii="黑体" w:eastAsia="黑体"/>
          <w:color w:val="000000"/>
          <w:sz w:val="36"/>
          <w:szCs w:val="36"/>
          <w:highlight w:val="none"/>
        </w:rPr>
        <w:t>第一章  招标公告</w:t>
      </w:r>
    </w:p>
    <w:p>
      <w:pPr>
        <w:pStyle w:val="21"/>
        <w:adjustRightInd w:val="0"/>
        <w:spacing w:line="360" w:lineRule="auto"/>
        <w:ind w:left="420" w:leftChars="200" w:firstLine="0"/>
        <w:rPr>
          <w:rFonts w:ascii="黑体" w:eastAsia="黑体"/>
          <w:color w:val="000000"/>
          <w:sz w:val="36"/>
          <w:szCs w:val="36"/>
          <w:highlight w:val="none"/>
        </w:rPr>
      </w:pPr>
      <w:r>
        <w:rPr>
          <w:rFonts w:hint="eastAsia" w:ascii="黑体" w:eastAsia="黑体"/>
          <w:color w:val="000000"/>
          <w:sz w:val="36"/>
          <w:szCs w:val="36"/>
          <w:highlight w:val="none"/>
        </w:rPr>
        <w:t>第二章  投标人须知</w:t>
      </w:r>
    </w:p>
    <w:p>
      <w:pPr>
        <w:pStyle w:val="21"/>
        <w:adjustRightInd w:val="0"/>
        <w:spacing w:line="360" w:lineRule="auto"/>
        <w:ind w:left="420" w:leftChars="200" w:firstLine="0"/>
        <w:rPr>
          <w:rFonts w:ascii="黑体" w:eastAsia="黑体"/>
          <w:color w:val="000000"/>
          <w:sz w:val="36"/>
          <w:szCs w:val="36"/>
          <w:highlight w:val="none"/>
        </w:rPr>
      </w:pPr>
      <w:r>
        <w:rPr>
          <w:rFonts w:hint="eastAsia" w:ascii="黑体" w:eastAsia="黑体"/>
          <w:color w:val="000000"/>
          <w:sz w:val="36"/>
          <w:szCs w:val="36"/>
          <w:highlight w:val="none"/>
        </w:rPr>
        <w:t>第三章  评标办法（综合评估法）</w:t>
      </w:r>
    </w:p>
    <w:p>
      <w:pPr>
        <w:pStyle w:val="21"/>
        <w:adjustRightInd w:val="0"/>
        <w:spacing w:line="360" w:lineRule="auto"/>
        <w:ind w:left="420" w:leftChars="200" w:firstLine="0"/>
        <w:rPr>
          <w:rFonts w:ascii="黑体" w:eastAsia="黑体"/>
          <w:color w:val="000000"/>
          <w:sz w:val="36"/>
          <w:szCs w:val="36"/>
          <w:highlight w:val="none"/>
        </w:rPr>
      </w:pPr>
      <w:r>
        <w:rPr>
          <w:rFonts w:hint="eastAsia" w:ascii="黑体" w:eastAsia="黑体"/>
          <w:color w:val="000000"/>
          <w:sz w:val="36"/>
          <w:szCs w:val="36"/>
          <w:highlight w:val="none"/>
        </w:rPr>
        <w:t>第四章  合同条款及格式</w:t>
      </w:r>
    </w:p>
    <w:p>
      <w:pPr>
        <w:pStyle w:val="21"/>
        <w:adjustRightInd w:val="0"/>
        <w:spacing w:line="360" w:lineRule="auto"/>
        <w:ind w:left="420" w:leftChars="200" w:firstLine="0"/>
        <w:rPr>
          <w:rFonts w:ascii="黑体" w:eastAsia="黑体"/>
          <w:color w:val="000000"/>
          <w:sz w:val="36"/>
          <w:szCs w:val="36"/>
          <w:highlight w:val="none"/>
        </w:rPr>
      </w:pPr>
      <w:r>
        <w:rPr>
          <w:rFonts w:hint="eastAsia" w:ascii="黑体" w:eastAsia="黑体"/>
          <w:color w:val="000000"/>
          <w:sz w:val="36"/>
          <w:szCs w:val="36"/>
          <w:highlight w:val="none"/>
        </w:rPr>
        <w:t>第五章  委托人要求（技术标准和要求）</w:t>
      </w:r>
    </w:p>
    <w:p>
      <w:pPr>
        <w:pStyle w:val="21"/>
        <w:adjustRightInd w:val="0"/>
        <w:spacing w:line="360" w:lineRule="auto"/>
        <w:ind w:left="420" w:leftChars="200" w:firstLine="0"/>
        <w:rPr>
          <w:rFonts w:ascii="黑体" w:eastAsia="黑体"/>
          <w:color w:val="000000"/>
          <w:sz w:val="36"/>
          <w:szCs w:val="36"/>
          <w:highlight w:val="none"/>
        </w:rPr>
      </w:pPr>
      <w:r>
        <w:rPr>
          <w:rFonts w:hint="eastAsia" w:ascii="黑体" w:eastAsia="黑体"/>
          <w:color w:val="000000"/>
          <w:sz w:val="36"/>
          <w:szCs w:val="36"/>
          <w:highlight w:val="none"/>
        </w:rPr>
        <w:t>第六章  投标文件格式</w:t>
      </w:r>
    </w:p>
    <w:p>
      <w:pPr>
        <w:pStyle w:val="6"/>
        <w:rPr>
          <w:rFonts w:hint="default"/>
          <w:highlight w:val="none"/>
        </w:rPr>
        <w:sectPr>
          <w:headerReference r:id="rId10" w:type="first"/>
          <w:footerReference r:id="rId12" w:type="first"/>
          <w:headerReference r:id="rId9" w:type="default"/>
          <w:footerReference r:id="rId11" w:type="default"/>
          <w:pgSz w:w="11850" w:h="16783"/>
          <w:pgMar w:top="1134" w:right="1800" w:bottom="1134" w:left="1800" w:header="0" w:footer="841" w:gutter="0"/>
          <w:pgNumType w:start="0"/>
          <w:cols w:space="720" w:num="1"/>
          <w:titlePg/>
          <w:docGrid w:linePitch="286" w:charSpace="0"/>
        </w:sectPr>
      </w:pPr>
    </w:p>
    <w:p>
      <w:pPr>
        <w:rPr>
          <w:rFonts w:hint="eastAsia" w:ascii="黑体" w:eastAsia="黑体"/>
          <w:b/>
          <w:color w:val="000000" w:themeColor="text1"/>
          <w:sz w:val="28"/>
          <w:szCs w:val="28"/>
          <w:highlight w:val="none"/>
          <w14:textFill>
            <w14:solidFill>
              <w14:schemeClr w14:val="tx1"/>
            </w14:solidFill>
          </w14:textFill>
        </w:rPr>
      </w:pPr>
    </w:p>
    <w:p>
      <w:pPr>
        <w:adjustRightInd w:val="0"/>
        <w:snapToGrid w:val="0"/>
        <w:jc w:val="center"/>
        <w:outlineLvl w:val="0"/>
        <w:rPr>
          <w:rFonts w:ascii="黑体" w:eastAsia="黑体"/>
          <w:b/>
          <w:color w:val="000000" w:themeColor="text1"/>
          <w:sz w:val="28"/>
          <w:szCs w:val="28"/>
          <w:highlight w:val="none"/>
          <w14:textFill>
            <w14:solidFill>
              <w14:schemeClr w14:val="tx1"/>
            </w14:solidFill>
          </w14:textFill>
        </w:rPr>
      </w:pPr>
      <w:r>
        <w:rPr>
          <w:rFonts w:hint="eastAsia" w:ascii="黑体" w:eastAsia="黑体"/>
          <w:b/>
          <w:color w:val="000000" w:themeColor="text1"/>
          <w:sz w:val="28"/>
          <w:szCs w:val="28"/>
          <w:highlight w:val="none"/>
          <w14:textFill>
            <w14:solidFill>
              <w14:schemeClr w14:val="tx1"/>
            </w14:solidFill>
          </w14:textFill>
        </w:rPr>
        <w:t>第一章 招标公告</w:t>
      </w:r>
      <w:bookmarkEnd w:id="0"/>
      <w:bookmarkEnd w:id="1"/>
      <w:bookmarkEnd w:id="2"/>
      <w:bookmarkEnd w:id="3"/>
    </w:p>
    <w:p>
      <w:pPr>
        <w:adjustRightInd w:val="0"/>
        <w:snapToGrid w:val="0"/>
        <w:jc w:val="center"/>
        <w:rPr>
          <w:rFonts w:ascii="黑体" w:eastAsia="黑体"/>
          <w:b/>
          <w:color w:val="000000" w:themeColor="text1"/>
          <w:sz w:val="28"/>
          <w:szCs w:val="28"/>
          <w:highlight w:val="none"/>
          <w14:textFill>
            <w14:solidFill>
              <w14:schemeClr w14:val="tx1"/>
            </w14:solidFill>
          </w14:textFill>
        </w:rPr>
      </w:pPr>
    </w:p>
    <w:p>
      <w:pPr>
        <w:jc w:val="center"/>
        <w:rPr>
          <w:rFonts w:hint="eastAsia" w:ascii="黑体" w:hAnsi="黑体" w:eastAsia="黑体"/>
          <w:bCs/>
          <w:color w:val="000000" w:themeColor="text1"/>
          <w:sz w:val="28"/>
          <w:szCs w:val="28"/>
          <w:highlight w:val="none"/>
          <w:lang w:eastAsia="zh-CN"/>
          <w14:textFill>
            <w14:solidFill>
              <w14:schemeClr w14:val="tx1"/>
            </w14:solidFill>
          </w14:textFill>
        </w:rPr>
      </w:pPr>
      <w:bookmarkStart w:id="4" w:name="_Toc15566"/>
      <w:bookmarkStart w:id="5" w:name="_Toc24035"/>
      <w:bookmarkStart w:id="6" w:name="_Toc13935"/>
      <w:r>
        <w:rPr>
          <w:rFonts w:hint="eastAsia" w:ascii="黑体" w:hAnsi="宋体" w:eastAsia="黑体"/>
          <w:color w:val="000000"/>
          <w:sz w:val="28"/>
          <w:szCs w:val="28"/>
          <w:highlight w:val="none"/>
          <w:lang w:eastAsia="zh-CN"/>
        </w:rPr>
        <w:t xml:space="preserve">国网东北分部2025年第五次服务公开招标批次采购                    </w:t>
      </w:r>
    </w:p>
    <w:p>
      <w:pPr>
        <w:jc w:val="center"/>
        <w:rPr>
          <w:rFonts w:ascii="黑体" w:hAnsi="黑体" w:eastAsia="黑体"/>
          <w:bCs/>
          <w:color w:val="000000" w:themeColor="text1"/>
          <w:sz w:val="28"/>
          <w:szCs w:val="28"/>
          <w:highlight w:val="none"/>
          <w14:textFill>
            <w14:solidFill>
              <w14:schemeClr w14:val="tx1"/>
            </w14:solidFill>
          </w14:textFill>
        </w:rPr>
      </w:pPr>
      <w:bookmarkStart w:id="7" w:name="_Toc3173"/>
      <w:bookmarkStart w:id="8" w:name="_Toc24199"/>
      <w:bookmarkStart w:id="9" w:name="_Toc1540"/>
      <w:bookmarkStart w:id="10" w:name="_Toc18789"/>
      <w:bookmarkStart w:id="11" w:name="_Toc7053"/>
      <w:bookmarkStart w:id="12" w:name="_Toc7870"/>
      <w:bookmarkStart w:id="13" w:name="_Toc18179"/>
      <w:bookmarkStart w:id="14" w:name="_Toc7560"/>
      <w:bookmarkStart w:id="15" w:name="_Toc3331"/>
      <w:bookmarkStart w:id="16" w:name="_Toc30735"/>
      <w:bookmarkStart w:id="17" w:name="_Toc7563"/>
      <w:bookmarkStart w:id="18" w:name="_Toc24661"/>
      <w:bookmarkStart w:id="19" w:name="_Toc21954"/>
      <w:bookmarkStart w:id="20" w:name="_Toc6743"/>
      <w:bookmarkStart w:id="21" w:name="_Toc12970"/>
      <w:bookmarkStart w:id="22" w:name="_Toc1901"/>
      <w:bookmarkStart w:id="23" w:name="_Toc8584"/>
      <w:bookmarkStart w:id="24" w:name="_Toc12766"/>
      <w:bookmarkStart w:id="25" w:name="_Toc25789"/>
      <w:bookmarkStart w:id="26" w:name="_Toc6951"/>
      <w:r>
        <w:rPr>
          <w:rFonts w:hint="eastAsia" w:ascii="黑体" w:hAnsi="黑体" w:eastAsia="黑体"/>
          <w:bCs/>
          <w:color w:val="000000" w:themeColor="text1"/>
          <w:sz w:val="28"/>
          <w:szCs w:val="28"/>
          <w:highlight w:val="none"/>
          <w14:textFill>
            <w14:solidFill>
              <w14:schemeClr w14:val="tx1"/>
            </w14:solidFill>
          </w14:textFill>
        </w:rPr>
        <w:t>招标公告</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adjustRightInd w:val="0"/>
        <w:snapToGrid w:val="0"/>
        <w:jc w:val="center"/>
        <w:rPr>
          <w:rFonts w:hint="eastAsia" w:ascii="黑体" w:eastAsia="黑体"/>
          <w:color w:val="000000" w:themeColor="text1"/>
          <w:sz w:val="24"/>
          <w:szCs w:val="24"/>
          <w:highlight w:val="none"/>
          <w:lang w:eastAsia="zh-CN"/>
          <w14:textFill>
            <w14:solidFill>
              <w14:schemeClr w14:val="tx1"/>
            </w14:solidFill>
          </w14:textFill>
        </w:rPr>
      </w:pPr>
      <w:r>
        <w:rPr>
          <w:rFonts w:hint="eastAsia" w:ascii="黑体" w:hAnsi="黑体" w:eastAsia="黑体"/>
          <w:bCs/>
          <w:color w:val="000000" w:themeColor="text1"/>
          <w:sz w:val="28"/>
          <w:szCs w:val="28"/>
          <w:highlight w:val="none"/>
          <w14:textFill>
            <w14:solidFill>
              <w14:schemeClr w14:val="tx1"/>
            </w14:solidFill>
          </w14:textFill>
        </w:rPr>
        <w:t>招标编号：</w:t>
      </w:r>
      <w:bookmarkEnd w:id="4"/>
      <w:bookmarkEnd w:id="5"/>
      <w:bookmarkEnd w:id="6"/>
      <w:r>
        <w:rPr>
          <w:rFonts w:hint="eastAsia" w:ascii="黑体" w:hAnsi="宋体" w:eastAsia="黑体"/>
          <w:color w:val="000000"/>
          <w:sz w:val="28"/>
          <w:szCs w:val="28"/>
          <w:highlight w:val="none"/>
          <w:lang w:eastAsia="zh-CN"/>
        </w:rPr>
        <w:t>392552</w:t>
      </w:r>
    </w:p>
    <w:p>
      <w:pPr>
        <w:adjustRightInd w:val="0"/>
        <w:snapToGrid w:val="0"/>
        <w:spacing w:before="240" w:beforeLines="100" w:after="120" w:afterLines="50" w:line="400" w:lineRule="exact"/>
        <w:outlineLvl w:val="1"/>
        <w:rPr>
          <w:rFonts w:ascii="黑体" w:eastAsia="黑体"/>
          <w:b/>
          <w:color w:val="000000" w:themeColor="text1"/>
          <w:sz w:val="24"/>
          <w:highlight w:val="none"/>
          <w14:textFill>
            <w14:solidFill>
              <w14:schemeClr w14:val="tx1"/>
            </w14:solidFill>
          </w14:textFill>
        </w:rPr>
      </w:pPr>
      <w:bookmarkStart w:id="27" w:name="_bookmark2"/>
      <w:bookmarkEnd w:id="27"/>
      <w:bookmarkStart w:id="28" w:name="_Toc10816"/>
      <w:bookmarkStart w:id="29" w:name="_Toc62551529"/>
      <w:bookmarkStart w:id="30" w:name="_Toc26742"/>
      <w:bookmarkStart w:id="31" w:name="_Toc12492"/>
      <w:r>
        <w:rPr>
          <w:rFonts w:hint="eastAsia" w:ascii="黑体" w:eastAsia="黑体"/>
          <w:b/>
          <w:color w:val="000000" w:themeColor="text1"/>
          <w:sz w:val="24"/>
          <w:highlight w:val="none"/>
          <w14:textFill>
            <w14:solidFill>
              <w14:schemeClr w14:val="tx1"/>
            </w14:solidFill>
          </w14:textFill>
        </w:rPr>
        <w:t>1.</w:t>
      </w:r>
      <w:r>
        <w:rPr>
          <w:rFonts w:ascii="黑体" w:eastAsia="黑体"/>
          <w:b/>
          <w:color w:val="000000" w:themeColor="text1"/>
          <w:sz w:val="24"/>
          <w:highlight w:val="none"/>
          <w14:textFill>
            <w14:solidFill>
              <w14:schemeClr w14:val="tx1"/>
            </w14:solidFill>
          </w14:textFill>
        </w:rPr>
        <w:t>招标条件</w:t>
      </w:r>
      <w:bookmarkEnd w:id="28"/>
      <w:bookmarkEnd w:id="29"/>
      <w:bookmarkEnd w:id="30"/>
      <w:bookmarkEnd w:id="31"/>
    </w:p>
    <w:p>
      <w:pPr>
        <w:pStyle w:val="20"/>
        <w:tabs>
          <w:tab w:val="left" w:pos="0"/>
        </w:tabs>
        <w:spacing w:line="400" w:lineRule="exact"/>
        <w:ind w:firstLine="420" w:firstLineChars="200"/>
        <w:jc w:val="both"/>
        <w:rPr>
          <w:color w:val="000000" w:themeColor="text1"/>
          <w:kern w:val="2"/>
          <w:sz w:val="21"/>
          <w:szCs w:val="21"/>
          <w:highlight w:val="none"/>
          <w14:textFill>
            <w14:solidFill>
              <w14:schemeClr w14:val="tx1"/>
            </w14:solidFill>
          </w14:textFill>
        </w:rPr>
      </w:pPr>
      <w:r>
        <w:rPr>
          <w:rFonts w:hint="eastAsia"/>
          <w:sz w:val="21"/>
          <w:szCs w:val="21"/>
          <w:highlight w:val="none"/>
        </w:rPr>
        <w:t>项目建设单位为国家电网公司东北分部（以下简称“项目单位”），项目资金来自</w:t>
      </w:r>
      <w:r>
        <w:rPr>
          <w:rFonts w:hint="eastAsia"/>
          <w:sz w:val="21"/>
          <w:szCs w:val="21"/>
          <w:highlight w:val="none"/>
        </w:rPr>
        <w:t>企业自有资金，出资比例为100%，资金来源已落实，招标人为国家电网公司东北分部，并委托</w:t>
      </w:r>
      <w:r>
        <w:rPr>
          <w:rFonts w:hint="eastAsia"/>
          <w:sz w:val="21"/>
          <w:szCs w:val="21"/>
          <w:highlight w:val="none"/>
        </w:rPr>
        <w:t>国网辽宁招标有限公司</w:t>
      </w:r>
      <w:r>
        <w:rPr>
          <w:rFonts w:hint="eastAsia"/>
          <w:sz w:val="21"/>
          <w:szCs w:val="21"/>
          <w:highlight w:val="none"/>
        </w:rPr>
        <w:t>为招标代理机构</w:t>
      </w:r>
      <w:r>
        <w:rPr>
          <w:rFonts w:hint="eastAsia"/>
          <w:sz w:val="21"/>
          <w:szCs w:val="21"/>
          <w:highlight w:val="none"/>
        </w:rPr>
        <w:t>。项目已具备招标条件，现对该项目进行公开招标。</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kern w:val="0"/>
          <w:sz w:val="21"/>
          <w:szCs w:val="21"/>
          <w:highlight w:val="none"/>
        </w:rPr>
        <w:t>本项目积极响应《中共中央国务院关于开展质量提升行动的指导意见》，倡导潜在投标人用先进标准引领服务质量提升，有效治理质量突出问题，推动形成优质优价的采购机制</w:t>
      </w:r>
      <w:r>
        <w:rPr>
          <w:rFonts w:hint="eastAsia"/>
          <w:kern w:val="0"/>
          <w:sz w:val="21"/>
          <w:highlight w:val="none"/>
        </w:rPr>
        <w:t>。</w:t>
      </w:r>
    </w:p>
    <w:p>
      <w:pPr>
        <w:numPr>
          <w:ilvl w:val="255"/>
          <w:numId w:val="0"/>
        </w:numPr>
        <w:adjustRightInd w:val="0"/>
        <w:snapToGrid w:val="0"/>
        <w:spacing w:before="240" w:beforeLines="100" w:after="120" w:afterLines="50" w:line="400" w:lineRule="exact"/>
        <w:outlineLvl w:val="1"/>
        <w:rPr>
          <w:rFonts w:ascii="黑体" w:eastAsia="黑体"/>
          <w:b/>
          <w:color w:val="000000" w:themeColor="text1"/>
          <w:sz w:val="24"/>
          <w:highlight w:val="none"/>
          <w14:textFill>
            <w14:solidFill>
              <w14:schemeClr w14:val="tx1"/>
            </w14:solidFill>
          </w14:textFill>
        </w:rPr>
      </w:pPr>
      <w:bookmarkStart w:id="32" w:name="_bookmark3"/>
      <w:bookmarkEnd w:id="32"/>
      <w:bookmarkStart w:id="33" w:name="_bookmark4"/>
      <w:bookmarkEnd w:id="33"/>
      <w:bookmarkStart w:id="34" w:name="_Toc62551530"/>
      <w:bookmarkStart w:id="35" w:name="_Toc9444"/>
      <w:bookmarkStart w:id="36" w:name="_Toc25148"/>
      <w:bookmarkStart w:id="37" w:name="_Toc21896"/>
      <w:bookmarkStart w:id="38" w:name="_Toc10766"/>
      <w:bookmarkStart w:id="39" w:name="_Toc11363"/>
      <w:bookmarkStart w:id="40" w:name="_Toc62551531"/>
      <w:bookmarkStart w:id="41" w:name="_Toc31535"/>
      <w:r>
        <w:rPr>
          <w:rFonts w:hint="eastAsia" w:ascii="黑体" w:eastAsia="黑体"/>
          <w:b/>
          <w:color w:val="000000" w:themeColor="text1"/>
          <w:sz w:val="24"/>
          <w:highlight w:val="none"/>
          <w14:textFill>
            <w14:solidFill>
              <w14:schemeClr w14:val="tx1"/>
            </w14:solidFill>
          </w14:textFill>
        </w:rPr>
        <w:t>2.</w:t>
      </w:r>
      <w:r>
        <w:rPr>
          <w:rFonts w:ascii="黑体" w:eastAsia="黑体"/>
          <w:b/>
          <w:color w:val="000000" w:themeColor="text1"/>
          <w:sz w:val="24"/>
          <w:highlight w:val="none"/>
          <w14:textFill>
            <w14:solidFill>
              <w14:schemeClr w14:val="tx1"/>
            </w14:solidFill>
          </w14:textFill>
        </w:rPr>
        <w:t>项目概况与招标范围</w:t>
      </w:r>
      <w:bookmarkEnd w:id="34"/>
      <w:bookmarkEnd w:id="35"/>
      <w:bookmarkEnd w:id="36"/>
      <w:bookmarkEnd w:id="37"/>
    </w:p>
    <w:p>
      <w:pPr>
        <w:pStyle w:val="14"/>
        <w:spacing w:after="0" w:line="400" w:lineRule="exact"/>
        <w:ind w:left="0" w:firstLine="420" w:firstLineChars="200"/>
        <w:rPr>
          <w:highlight w:val="none"/>
        </w:rPr>
      </w:pPr>
      <w:r>
        <w:rPr>
          <w:rFonts w:hint="eastAsia"/>
          <w:sz w:val="21"/>
          <w:szCs w:val="21"/>
          <w:highlight w:val="none"/>
        </w:rPr>
        <w:t>详见招标公告附件</w:t>
      </w:r>
      <w:r>
        <w:rPr>
          <w:rFonts w:hint="eastAsia" w:ascii="Calibri" w:hAnsi="Calibri" w:eastAsia="宋体" w:cs="Times New Roman"/>
          <w:sz w:val="21"/>
          <w:szCs w:val="21"/>
          <w:highlight w:val="none"/>
        </w:rPr>
        <w:t>（列明合同包个数、采购</w:t>
      </w:r>
      <w:r>
        <w:rPr>
          <w:rFonts w:hint="eastAsia" w:ascii="Calibri" w:hAnsi="Calibri" w:eastAsia="宋体" w:cs="Times New Roman"/>
          <w:sz w:val="21"/>
          <w:szCs w:val="21"/>
          <w:highlight w:val="none"/>
          <w:lang w:val="en-US" w:eastAsia="zh-CN"/>
        </w:rPr>
        <w:t>范围</w:t>
      </w:r>
      <w:r>
        <w:rPr>
          <w:rFonts w:hint="eastAsia" w:ascii="Calibri" w:hAnsi="Calibri" w:eastAsia="宋体" w:cs="Times New Roman"/>
          <w:sz w:val="21"/>
          <w:szCs w:val="21"/>
          <w:highlight w:val="none"/>
        </w:rPr>
        <w:t>、</w:t>
      </w:r>
      <w:r>
        <w:rPr>
          <w:rFonts w:hint="eastAsia" w:ascii="Calibri" w:hAnsi="Calibri" w:eastAsia="宋体" w:cs="Times New Roman"/>
          <w:sz w:val="21"/>
          <w:szCs w:val="21"/>
          <w:highlight w:val="none"/>
          <w:lang w:val="en-US" w:eastAsia="zh-CN"/>
        </w:rPr>
        <w:t>实施地点</w:t>
      </w:r>
      <w:r>
        <w:rPr>
          <w:rFonts w:hint="eastAsia" w:ascii="Calibri" w:hAnsi="Calibri" w:eastAsia="宋体" w:cs="Times New Roman"/>
          <w:sz w:val="21"/>
          <w:szCs w:val="21"/>
          <w:highlight w:val="none"/>
        </w:rPr>
        <w:t>等内容）</w:t>
      </w:r>
      <w:r>
        <w:rPr>
          <w:rFonts w:hint="eastAsia"/>
          <w:sz w:val="21"/>
          <w:szCs w:val="21"/>
          <w:highlight w:val="none"/>
        </w:rPr>
        <w:t>。</w:t>
      </w:r>
    </w:p>
    <w:p>
      <w:pPr>
        <w:spacing w:before="240" w:beforeLines="100" w:after="120" w:afterLines="50" w:line="400" w:lineRule="exact"/>
        <w:outlineLvl w:val="1"/>
        <w:rPr>
          <w:rFonts w:ascii="黑体" w:eastAsia="黑体"/>
          <w:b/>
          <w:color w:val="000000" w:themeColor="text1"/>
          <w:sz w:val="24"/>
          <w:highlight w:val="none"/>
          <w14:textFill>
            <w14:solidFill>
              <w14:schemeClr w14:val="tx1"/>
            </w14:solidFill>
          </w14:textFill>
        </w:rPr>
      </w:pPr>
      <w:r>
        <w:rPr>
          <w:rFonts w:hint="eastAsia" w:ascii="黑体" w:eastAsia="黑体"/>
          <w:b/>
          <w:color w:val="000000" w:themeColor="text1"/>
          <w:sz w:val="24"/>
          <w:highlight w:val="none"/>
          <w14:textFill>
            <w14:solidFill>
              <w14:schemeClr w14:val="tx1"/>
            </w14:solidFill>
          </w14:textFill>
        </w:rPr>
        <w:t>3.投标人资格要求</w:t>
      </w:r>
      <w:bookmarkEnd w:id="38"/>
      <w:bookmarkEnd w:id="39"/>
      <w:bookmarkEnd w:id="40"/>
      <w:bookmarkEnd w:id="41"/>
    </w:p>
    <w:p>
      <w:pPr>
        <w:tabs>
          <w:tab w:val="left" w:pos="1200"/>
          <w:tab w:val="left" w:pos="3112"/>
          <w:tab w:val="left" w:pos="4600"/>
        </w:tabs>
        <w:spacing w:line="400" w:lineRule="exact"/>
        <w:ind w:firstLine="450" w:firstLineChars="200"/>
        <w:rPr>
          <w:color w:val="000000" w:themeColor="text1"/>
          <w:spacing w:val="7"/>
          <w:szCs w:val="21"/>
          <w:highlight w:val="none"/>
          <w14:textFill>
            <w14:solidFill>
              <w14:schemeClr w14:val="tx1"/>
            </w14:solidFill>
          </w14:textFill>
        </w:rPr>
      </w:pPr>
      <w:r>
        <w:rPr>
          <w:rFonts w:hint="eastAsia" w:ascii="宋体" w:hAnsi="宋体" w:eastAsia="宋体" w:cs="宋体"/>
          <w:b/>
          <w:bCs/>
          <w:color w:val="000000" w:themeColor="text1"/>
          <w:spacing w:val="7"/>
          <w:szCs w:val="21"/>
          <w:highlight w:val="none"/>
          <w14:textFill>
            <w14:solidFill>
              <w14:schemeClr w14:val="tx1"/>
            </w14:solidFill>
          </w14:textFill>
        </w:rPr>
        <w:t>3.1</w:t>
      </w:r>
      <w:r>
        <w:rPr>
          <w:rFonts w:hint="eastAsia"/>
          <w:b/>
          <w:bCs/>
          <w:color w:val="000000" w:themeColor="text1"/>
          <w:spacing w:val="7"/>
          <w:szCs w:val="21"/>
          <w:highlight w:val="none"/>
          <w14:textFill>
            <w14:solidFill>
              <w14:schemeClr w14:val="tx1"/>
            </w14:solidFill>
          </w14:textFill>
        </w:rPr>
        <w:t xml:space="preserve"> 投标人须满足如下通用资格要求：</w:t>
      </w:r>
    </w:p>
    <w:p>
      <w:pPr>
        <w:pStyle w:val="20"/>
        <w:tabs>
          <w:tab w:val="left" w:pos="0"/>
        </w:tabs>
        <w:spacing w:line="400" w:lineRule="exact"/>
        <w:ind w:firstLine="420" w:firstLineChars="200"/>
        <w:jc w:val="both"/>
        <w:rPr>
          <w:rFonts w:hint="eastAsia" w:ascii="宋体" w:hAnsi="宋体" w:eastAsia="宋体" w:cs="宋体"/>
          <w:color w:val="000000" w:themeColor="text1"/>
          <w:kern w:val="2"/>
          <w:sz w:val="21"/>
          <w:highlight w:val="none"/>
          <w14:textFill>
            <w14:solidFill>
              <w14:schemeClr w14:val="tx1"/>
            </w14:solidFill>
          </w14:textFill>
        </w:rPr>
      </w:pPr>
      <w:r>
        <w:rPr>
          <w:rFonts w:hint="eastAsia" w:ascii="宋体" w:hAnsi="宋体" w:eastAsia="宋体" w:cs="宋体"/>
          <w:color w:val="000000" w:themeColor="text1"/>
          <w:kern w:val="2"/>
          <w:sz w:val="21"/>
          <w:highlight w:val="none"/>
          <w14:textFill>
            <w14:solidFill>
              <w14:schemeClr w14:val="tx1"/>
            </w14:solidFill>
          </w14:textFill>
        </w:rPr>
        <w:t>（1）本次招标要求投标人须为中华人民共和国</w:t>
      </w:r>
      <w:r>
        <w:rPr>
          <w:rFonts w:hint="eastAsia" w:ascii="宋体" w:hAnsi="宋体" w:eastAsia="宋体" w:cs="宋体"/>
          <w:color w:val="000000" w:themeColor="text1"/>
          <w:kern w:val="2"/>
          <w:sz w:val="21"/>
          <w:highlight w:val="none"/>
          <w14:textFill>
            <w14:solidFill>
              <w14:schemeClr w14:val="tx1"/>
            </w14:solidFill>
          </w14:textFill>
        </w:rPr>
        <w:t>境内</w:t>
      </w:r>
      <w:r>
        <w:rPr>
          <w:rFonts w:hint="eastAsia" w:ascii="宋体" w:hAnsi="宋体" w:eastAsia="宋体" w:cs="宋体"/>
          <w:color w:val="000000" w:themeColor="text1"/>
          <w:kern w:val="2"/>
          <w:sz w:val="21"/>
          <w:highlight w:val="none"/>
          <w14:textFill>
            <w14:solidFill>
              <w14:schemeClr w14:val="tx1"/>
            </w14:solidFill>
          </w14:textFill>
        </w:rPr>
        <w:t>依法注册的法人或</w:t>
      </w:r>
      <w:r>
        <w:rPr>
          <w:rFonts w:hint="eastAsia" w:ascii="宋体" w:hAnsi="宋体" w:eastAsia="宋体" w:cs="宋体"/>
          <w:color w:val="000000" w:themeColor="text1"/>
          <w:kern w:val="2"/>
          <w:sz w:val="21"/>
          <w:highlight w:val="none"/>
          <w:lang w:val="en-US" w:eastAsia="zh-CN"/>
          <w14:textFill>
            <w14:solidFill>
              <w14:schemeClr w14:val="tx1"/>
            </w14:solidFill>
          </w14:textFill>
        </w:rPr>
        <w:t>其他</w:t>
      </w:r>
      <w:r>
        <w:rPr>
          <w:rFonts w:hint="eastAsia" w:ascii="宋体" w:hAnsi="宋体" w:eastAsia="宋体" w:cs="宋体"/>
          <w:color w:val="000000"/>
          <w:kern w:val="2"/>
          <w:sz w:val="21"/>
          <w:highlight w:val="none"/>
          <w:lang w:val="en-US"/>
        </w:rPr>
        <w:t>组织</w:t>
      </w:r>
      <w:r>
        <w:rPr>
          <w:rFonts w:hint="eastAsia" w:ascii="宋体" w:hAnsi="宋体" w:eastAsia="宋体" w:cs="宋体"/>
          <w:color w:val="000000" w:themeColor="text1"/>
          <w:kern w:val="2"/>
          <w:sz w:val="21"/>
          <w:highlight w:val="none"/>
          <w14:textFill>
            <w14:solidFill>
              <w14:schemeClr w14:val="tx1"/>
            </w14:solidFill>
          </w14:textFill>
        </w:rPr>
        <w:t>，须具备承担所投项目的资格条件；并在人员、设备、资金等方面具有保障如期完成中标项目的能力。</w:t>
      </w:r>
    </w:p>
    <w:p>
      <w:pPr>
        <w:pStyle w:val="20"/>
        <w:tabs>
          <w:tab w:val="left" w:pos="0"/>
        </w:tabs>
        <w:spacing w:line="400" w:lineRule="exact"/>
        <w:ind w:firstLine="420" w:firstLineChars="200"/>
        <w:jc w:val="both"/>
        <w:rPr>
          <w:rFonts w:hint="eastAsia" w:ascii="宋体" w:hAnsi="宋体" w:eastAsia="宋体" w:cs="宋体"/>
          <w:color w:val="000000" w:themeColor="text1"/>
          <w:kern w:val="2"/>
          <w:sz w:val="21"/>
          <w:highlight w:val="none"/>
          <w14:textFill>
            <w14:solidFill>
              <w14:schemeClr w14:val="tx1"/>
            </w14:solidFill>
          </w14:textFill>
        </w:rPr>
      </w:pPr>
      <w:r>
        <w:rPr>
          <w:rFonts w:hint="eastAsia" w:ascii="宋体" w:hAnsi="宋体" w:eastAsia="宋体" w:cs="宋体"/>
          <w:color w:val="000000" w:themeColor="text1"/>
          <w:kern w:val="2"/>
          <w:sz w:val="21"/>
          <w:highlight w:val="none"/>
          <w14:textFill>
            <w14:solidFill>
              <w14:schemeClr w14:val="tx1"/>
            </w14:solidFill>
          </w14:textFill>
        </w:rPr>
        <w:t>（2）法定代表人（单位负责人）为同一人或者存在控股、管理关系的不同单位，不得参加同一标包投标或者未划分标包的同一</w:t>
      </w:r>
      <w:r>
        <w:rPr>
          <w:rFonts w:hint="eastAsia" w:cs="宋体"/>
          <w:color w:val="000000" w:themeColor="text1"/>
          <w:kern w:val="2"/>
          <w:sz w:val="21"/>
          <w:highlight w:val="none"/>
          <w:lang w:val="en-US" w:eastAsia="zh-CN"/>
          <w14:textFill>
            <w14:solidFill>
              <w14:schemeClr w14:val="tx1"/>
            </w14:solidFill>
          </w14:textFill>
        </w:rPr>
        <w:t>招标</w:t>
      </w:r>
      <w:r>
        <w:rPr>
          <w:rFonts w:hint="eastAsia" w:ascii="宋体" w:hAnsi="宋体" w:eastAsia="宋体" w:cs="宋体"/>
          <w:color w:val="000000" w:themeColor="text1"/>
          <w:kern w:val="2"/>
          <w:sz w:val="21"/>
          <w:highlight w:val="none"/>
          <w14:textFill>
            <w14:solidFill>
              <w14:schemeClr w14:val="tx1"/>
            </w14:solidFill>
          </w14:textFill>
        </w:rPr>
        <w:t>项目投标。</w:t>
      </w:r>
    </w:p>
    <w:p>
      <w:pPr>
        <w:pStyle w:val="20"/>
        <w:tabs>
          <w:tab w:val="left" w:pos="0"/>
        </w:tabs>
        <w:spacing w:line="400" w:lineRule="exact"/>
        <w:ind w:firstLine="420" w:firstLineChars="200"/>
        <w:jc w:val="both"/>
        <w:rPr>
          <w:rFonts w:hint="eastAsia" w:ascii="宋体" w:hAnsi="宋体" w:eastAsia="宋体" w:cs="宋体"/>
          <w:kern w:val="2"/>
          <w:sz w:val="21"/>
          <w:highlight w:val="none"/>
        </w:rPr>
      </w:pPr>
      <w:r>
        <w:rPr>
          <w:rFonts w:hint="eastAsia" w:ascii="宋体" w:hAnsi="宋体" w:eastAsia="宋体" w:cs="宋体"/>
          <w:color w:val="000000" w:themeColor="text1"/>
          <w:kern w:val="2"/>
          <w:sz w:val="21"/>
          <w:highlight w:val="none"/>
          <w14:textFill>
            <w14:solidFill>
              <w14:schemeClr w14:val="tx1"/>
            </w14:solidFill>
          </w14:textFill>
        </w:rPr>
        <w:t>（3）取得国家法律、法规、规章规定的有效许可证。取得招标文件要求的国家强制认证证书。</w:t>
      </w:r>
    </w:p>
    <w:p>
      <w:pPr>
        <w:pStyle w:val="20"/>
        <w:tabs>
          <w:tab w:val="left" w:pos="0"/>
        </w:tabs>
        <w:spacing w:line="400" w:lineRule="exact"/>
        <w:ind w:firstLine="420" w:firstLineChars="200"/>
        <w:jc w:val="both"/>
        <w:rPr>
          <w:rFonts w:hint="eastAsia" w:ascii="宋体" w:hAnsi="宋体" w:eastAsia="宋体" w:cs="宋体"/>
          <w:color w:val="auto"/>
          <w:kern w:val="2"/>
          <w:sz w:val="21"/>
          <w:highlight w:val="none"/>
          <w:lang w:eastAsia="zh-CN"/>
        </w:rPr>
      </w:pPr>
      <w:r>
        <w:rPr>
          <w:rFonts w:hint="eastAsia" w:ascii="宋体" w:hAnsi="宋体" w:eastAsia="宋体" w:cs="宋体"/>
          <w:color w:val="auto"/>
          <w:kern w:val="2"/>
          <w:sz w:val="21"/>
          <w:highlight w:val="none"/>
          <w:lang w:eastAsia="zh-CN"/>
        </w:rPr>
        <w:t>（</w:t>
      </w:r>
      <w:r>
        <w:rPr>
          <w:rFonts w:hint="eastAsia" w:ascii="宋体" w:hAnsi="宋体" w:eastAsia="宋体" w:cs="宋体"/>
          <w:color w:val="auto"/>
          <w:kern w:val="2"/>
          <w:sz w:val="21"/>
          <w:highlight w:val="none"/>
          <w:lang w:val="en-US" w:eastAsia="zh-CN"/>
        </w:rPr>
        <w:t>4</w:t>
      </w:r>
      <w:r>
        <w:rPr>
          <w:rFonts w:hint="eastAsia" w:ascii="宋体" w:hAnsi="宋体" w:eastAsia="宋体" w:cs="宋体"/>
          <w:color w:val="auto"/>
          <w:kern w:val="2"/>
          <w:sz w:val="21"/>
          <w:highlight w:val="none"/>
          <w:lang w:eastAsia="zh-CN"/>
        </w:rPr>
        <w:t>）应有良好的财务状况和商业信用。</w:t>
      </w:r>
    </w:p>
    <w:p>
      <w:pPr>
        <w:pStyle w:val="20"/>
        <w:tabs>
          <w:tab w:val="left" w:pos="0"/>
        </w:tabs>
        <w:spacing w:line="400" w:lineRule="exact"/>
        <w:ind w:firstLine="420" w:firstLineChars="200"/>
        <w:jc w:val="both"/>
        <w:rPr>
          <w:rFonts w:hint="eastAsia" w:ascii="宋体" w:hAnsi="宋体" w:eastAsia="宋体" w:cs="宋体"/>
          <w:color w:val="000000" w:themeColor="text1"/>
          <w:kern w:val="2"/>
          <w:sz w:val="21"/>
          <w:highlight w:val="none"/>
          <w14:textFill>
            <w14:solidFill>
              <w14:schemeClr w14:val="tx1"/>
            </w14:solidFill>
          </w14:textFill>
        </w:rPr>
      </w:pPr>
      <w:r>
        <w:rPr>
          <w:rFonts w:hint="eastAsia" w:ascii="宋体" w:hAnsi="宋体" w:eastAsia="宋体" w:cs="宋体"/>
          <w:color w:val="000000" w:themeColor="text1"/>
          <w:kern w:val="2"/>
          <w:sz w:val="21"/>
          <w:highlight w:val="none"/>
          <w14:textFill>
            <w14:solidFill>
              <w14:schemeClr w14:val="tx1"/>
            </w14:solidFill>
          </w14:textFill>
        </w:rPr>
        <w:t>（</w:t>
      </w:r>
      <w:r>
        <w:rPr>
          <w:rFonts w:hint="eastAsia" w:ascii="宋体" w:hAnsi="宋体" w:eastAsia="宋体" w:cs="宋体"/>
          <w:color w:val="000000" w:themeColor="text1"/>
          <w:kern w:val="2"/>
          <w:sz w:val="21"/>
          <w:highlight w:val="none"/>
          <w:lang w:val="en-US" w:eastAsia="zh-CN"/>
          <w14:textFill>
            <w14:solidFill>
              <w14:schemeClr w14:val="tx1"/>
            </w14:solidFill>
          </w14:textFill>
        </w:rPr>
        <w:t>5</w:t>
      </w:r>
      <w:r>
        <w:rPr>
          <w:rFonts w:hint="eastAsia" w:ascii="宋体" w:hAnsi="宋体" w:eastAsia="宋体" w:cs="宋体"/>
          <w:color w:val="000000" w:themeColor="text1"/>
          <w:kern w:val="2"/>
          <w:sz w:val="21"/>
          <w:highlight w:val="none"/>
          <w14:textFill>
            <w14:solidFill>
              <w14:schemeClr w14:val="tx1"/>
            </w14:solidFill>
          </w14:textFill>
        </w:rPr>
        <w:t>）</w:t>
      </w:r>
      <w:r>
        <w:rPr>
          <w:rFonts w:hint="eastAsia" w:ascii="宋体" w:hAnsi="宋体" w:eastAsia="宋体" w:cs="宋体"/>
          <w:color w:val="000000" w:themeColor="text1"/>
          <w:kern w:val="2"/>
          <w:sz w:val="21"/>
          <w:highlight w:val="none"/>
          <w:lang w:val="en-US"/>
          <w14:textFill>
            <w14:solidFill>
              <w14:schemeClr w14:val="tx1"/>
            </w14:solidFill>
          </w14:textFill>
        </w:rPr>
        <w:t>根据《国家电网有限公司供应商关系管理办法》的规定，投标人存在导致其被暂停中标资格或取消中标资格的不良行为且在处理有效期内的，投标人在投标截止之日至</w:t>
      </w:r>
      <w:r>
        <w:rPr>
          <w:rFonts w:hint="eastAsia" w:asciiTheme="minorEastAsia" w:hAnsiTheme="minorEastAsia" w:eastAsiaTheme="minorEastAsia" w:cstheme="minorEastAsia"/>
          <w:color w:val="000000"/>
          <w:sz w:val="21"/>
          <w:szCs w:val="22"/>
          <w:highlight w:val="none"/>
        </w:rPr>
        <w:t>中标通知书到达之日前，任一日在《国家电网有限公司关于供应商不良行为处理情况的通报》处理期内的均适用不良行为处理结果</w:t>
      </w:r>
      <w:r>
        <w:rPr>
          <w:rFonts w:hint="eastAsia" w:ascii="宋体" w:hAnsi="宋体" w:eastAsia="宋体" w:cs="宋体"/>
          <w:color w:val="000000" w:themeColor="text1"/>
          <w:kern w:val="2"/>
          <w:sz w:val="21"/>
          <w:highlight w:val="none"/>
          <w:lang w:val="en-US"/>
          <w14:textFill>
            <w14:solidFill>
              <w14:schemeClr w14:val="tx1"/>
            </w14:solidFill>
          </w14:textFill>
        </w:rPr>
        <w:t>。或投标人存在触发《国家电网有限公司供应商关系管理办法》第</w:t>
      </w:r>
      <w:r>
        <w:rPr>
          <w:rFonts w:hint="eastAsia" w:ascii="宋体" w:hAnsi="宋体" w:eastAsia="宋体" w:cs="宋体"/>
          <w:color w:val="000000" w:themeColor="text1"/>
          <w:kern w:val="2"/>
          <w:sz w:val="21"/>
          <w:highlight w:val="none"/>
          <w:lang w:val="en-US" w:eastAsia="zh-CN"/>
          <w14:textFill>
            <w14:solidFill>
              <w14:schemeClr w14:val="tx1"/>
            </w14:solidFill>
          </w14:textFill>
        </w:rPr>
        <w:t>六</w:t>
      </w:r>
      <w:r>
        <w:rPr>
          <w:rFonts w:hint="eastAsia" w:ascii="宋体" w:hAnsi="宋体" w:eastAsia="宋体" w:cs="宋体"/>
          <w:color w:val="000000" w:themeColor="text1"/>
          <w:kern w:val="2"/>
          <w:sz w:val="21"/>
          <w:highlight w:val="none"/>
          <w:lang w:val="en-US"/>
          <w14:textFill>
            <w14:solidFill>
              <w14:schemeClr w14:val="tx1"/>
            </w14:solidFill>
          </w14:textFill>
        </w:rPr>
        <w:t>十三条安全及质量重大问题“熔断机制”情形的，其投标将被否决。</w:t>
      </w:r>
      <w:r>
        <w:rPr>
          <w:rFonts w:hint="eastAsia" w:asciiTheme="minorEastAsia" w:hAnsiTheme="minorEastAsia" w:eastAsiaTheme="minorEastAsia" w:cstheme="minorEastAsia"/>
          <w:color w:val="000000"/>
          <w:sz w:val="21"/>
          <w:szCs w:val="22"/>
          <w:highlight w:val="none"/>
        </w:rPr>
        <w:t>即使投标人在投标截止日尚不存在上述情况，但在中标通知书到达之日前，出现上述情况的，招标人亦有权取消其中标资格。</w:t>
      </w:r>
    </w:p>
    <w:p>
      <w:pPr>
        <w:tabs>
          <w:tab w:val="left" w:pos="1134"/>
        </w:tabs>
        <w:wordWrap w:val="0"/>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6</w:t>
      </w:r>
      <w:r>
        <w:rPr>
          <w:rFonts w:hint="eastAsia" w:ascii="宋体" w:hAnsi="宋体" w:eastAsia="宋体" w:cs="宋体"/>
          <w:color w:val="000000" w:themeColor="text1"/>
          <w:highlight w:val="none"/>
          <w14:textFill>
            <w14:solidFill>
              <w14:schemeClr w14:val="tx1"/>
            </w14:solidFill>
          </w14:textFill>
        </w:rPr>
        <w:t>）</w:t>
      </w:r>
      <w:r>
        <w:rPr>
          <w:rFonts w:hint="eastAsia" w:asciiTheme="minorEastAsia" w:hAnsiTheme="minorEastAsia" w:eastAsiaTheme="minorEastAsia" w:cstheme="minorEastAsia"/>
          <w:color w:val="000000"/>
          <w:sz w:val="21"/>
          <w:szCs w:val="22"/>
          <w:highlight w:val="none"/>
        </w:rPr>
        <w:t>根据最高人民法院、国家发展改革委、国家铁路局等九部门联合印发的《关于在招标投标活动中对失信被执行人实施联合惩戒的通知》（法〔2016〕285号），投标人不得被人民法院列为失信被执行人。</w:t>
      </w:r>
      <w:r>
        <w:rPr>
          <w:rFonts w:hint="eastAsia" w:asciiTheme="minorEastAsia" w:hAnsiTheme="minorEastAsia" w:eastAsiaTheme="minorEastAsia" w:cstheme="minorEastAsia"/>
          <w:color w:val="000000"/>
          <w:sz w:val="21"/>
          <w:szCs w:val="22"/>
          <w:highlight w:val="none"/>
        </w:rPr>
        <w:t>投标人不得存在违法失信行为，不得被“信用中国”网站（www.creditchina.gov.cn）列入严重失信主体名单。即使投标人在开标当日未出现被列入失信被执行人或严重失信主体名单的情形，但在中标通知书到达之日前，存在上述情形的，招标人有权取消其中标资格。</w:t>
      </w:r>
    </w:p>
    <w:p>
      <w:pPr>
        <w:tabs>
          <w:tab w:val="left" w:pos="1134"/>
        </w:tabs>
        <w:adjustRightInd w:val="0"/>
        <w:snapToGrid w:val="0"/>
        <w:spacing w:line="400" w:lineRule="exact"/>
        <w:ind w:firstLine="420" w:firstLineChars="200"/>
        <w:rPr>
          <w:rFonts w:hint="eastAsia" w:ascii="宋体" w:hAnsi="宋体" w:eastAsia="宋体" w:cs="宋体"/>
          <w:color w:val="000000"/>
          <w:szCs w:val="21"/>
          <w:highlight w:val="none"/>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7</w:t>
      </w:r>
      <w:r>
        <w:rPr>
          <w:rFonts w:hint="eastAsia" w:ascii="宋体" w:hAnsi="宋体" w:eastAsia="宋体" w:cs="宋体"/>
          <w:color w:val="000000" w:themeColor="text1"/>
          <w:highlight w:val="none"/>
          <w14:textFill>
            <w14:solidFill>
              <w14:schemeClr w14:val="tx1"/>
            </w14:solidFill>
          </w14:textFill>
        </w:rPr>
        <w:t>）投标人不得被市场监督管理机关在国家企业信用信息公示系统中列入严重违法失信企业名单或列入经营异常名录信息。投标人需同时在商务文件中提供在国家企业信用信息公示系统（www.gsxt.gov.cn）查询的，包含“营业执照信息”、“列入严重违法失信企业名单（黑名单）”、“列入经营异常名录信息”、“行政处罚信息”、“清算信息”的查询结果（查询日期应在投标截止日前20天内，查询结果应为网站自动生成的PDF文件的电子版）。如投标人未提供企业信用信息公示报告，或提供的报告不符合招标文件规定的格式与内容，或报告内容被评标委员会认定有异议的，投标人的“列入经营异常名录信息”和“列入严重违法失信企业名单（黑名单）信息”以评标委员会在国家企业信用信息公示系统（www.gsxt.gov.cn）查询的结果为准。投标人未提供或提供的企业信用信息公示报告不符合招标文件规定的格式与内容的，评标委员会将会对投标人进行不利评价。投标人提供虚假企业信用信息公示报告的，按照虚假投标进行否决，并根据《国家电网有限公司供应商关系管理办法》进行相应处理</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eastAsia="zh-CN"/>
          <w14:textFill>
            <w14:solidFill>
              <w14:schemeClr w14:val="tx1"/>
            </w14:solidFill>
          </w14:textFill>
        </w:rPr>
        <w:t>即使投标人在开标当日未出现被市场监督管理机关列入经营异常名录或严重违法失信企业名单的情形，但在中标通知书到达之日前，存在上述情形的，招标人有权取消其中标资格。</w:t>
      </w:r>
    </w:p>
    <w:p>
      <w:pPr>
        <w:tabs>
          <w:tab w:val="left" w:pos="1134"/>
        </w:tabs>
        <w:adjustRightInd w:val="0"/>
        <w:snapToGrid w:val="0"/>
        <w:spacing w:line="400" w:lineRule="exact"/>
        <w:ind w:firstLine="42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8</w:t>
      </w:r>
      <w:r>
        <w:rPr>
          <w:rFonts w:hint="eastAsia" w:ascii="宋体" w:hAnsi="宋体" w:eastAsia="宋体" w:cs="宋体"/>
          <w:color w:val="000000" w:themeColor="text1"/>
          <w:highlight w:val="none"/>
          <w14:textFill>
            <w14:solidFill>
              <w14:schemeClr w14:val="tx1"/>
            </w14:solidFill>
          </w14:textFill>
        </w:rPr>
        <w:t>）其他</w:t>
      </w:r>
    </w:p>
    <w:p>
      <w:pPr>
        <w:tabs>
          <w:tab w:val="left" w:pos="1200"/>
          <w:tab w:val="left" w:pos="3112"/>
          <w:tab w:val="left" w:pos="4600"/>
        </w:tabs>
        <w:spacing w:line="400" w:lineRule="exact"/>
        <w:ind w:firstLine="450" w:firstLineChars="200"/>
        <w:rPr>
          <w:b/>
          <w:bCs/>
          <w:color w:val="000000" w:themeColor="text1"/>
          <w:spacing w:val="7"/>
          <w:szCs w:val="21"/>
          <w:highlight w:val="none"/>
          <w14:textFill>
            <w14:solidFill>
              <w14:schemeClr w14:val="tx1"/>
            </w14:solidFill>
          </w14:textFill>
        </w:rPr>
      </w:pPr>
      <w:r>
        <w:rPr>
          <w:rFonts w:hint="eastAsia" w:ascii="宋体" w:hAnsi="宋体" w:eastAsia="宋体" w:cs="宋体"/>
          <w:b/>
          <w:bCs/>
          <w:color w:val="000000" w:themeColor="text1"/>
          <w:spacing w:val="7"/>
          <w:szCs w:val="21"/>
          <w:highlight w:val="none"/>
          <w14:textFill>
            <w14:solidFill>
              <w14:schemeClr w14:val="tx1"/>
            </w14:solidFill>
          </w14:textFill>
        </w:rPr>
        <w:t>3.2投标人须满足相应招标项目的专用资格要求</w:t>
      </w:r>
      <w:r>
        <w:rPr>
          <w:rFonts w:hint="eastAsia"/>
          <w:b/>
          <w:bCs/>
          <w:color w:val="000000" w:themeColor="text1"/>
          <w:spacing w:val="7"/>
          <w:szCs w:val="21"/>
          <w:highlight w:val="none"/>
          <w14:textFill>
            <w14:solidFill>
              <w14:schemeClr w14:val="tx1"/>
            </w14:solidFill>
          </w14:textFill>
        </w:rPr>
        <w:t>:</w:t>
      </w:r>
    </w:p>
    <w:p>
      <w:pPr>
        <w:tabs>
          <w:tab w:val="left" w:pos="1200"/>
          <w:tab w:val="left" w:pos="3112"/>
          <w:tab w:val="left" w:pos="4600"/>
        </w:tabs>
        <w:spacing w:line="400" w:lineRule="exact"/>
        <w:ind w:firstLine="420" w:firstLineChars="200"/>
        <w:rPr>
          <w:rFonts w:ascii="宋体" w:hAnsi="宋体"/>
          <w:color w:val="000000" w:themeColor="text1"/>
          <w:szCs w:val="21"/>
          <w:highlight w:val="none"/>
          <w:lang w:val="zh-CN"/>
          <w14:textFill>
            <w14:solidFill>
              <w14:schemeClr w14:val="tx1"/>
            </w14:solidFill>
          </w14:textFill>
        </w:rPr>
      </w:pPr>
      <w:r>
        <w:rPr>
          <w:rFonts w:hint="eastAsia" w:ascii="宋体" w:hAnsi="宋体"/>
          <w:color w:val="000000" w:themeColor="text1"/>
          <w:szCs w:val="21"/>
          <w:highlight w:val="none"/>
          <w:lang w:val="zh-CN"/>
          <w14:textFill>
            <w14:solidFill>
              <w14:schemeClr w14:val="tx1"/>
            </w14:solidFill>
          </w14:textFill>
        </w:rPr>
        <w:t>详见招标公告附件。</w:t>
      </w:r>
    </w:p>
    <w:p>
      <w:pPr>
        <w:tabs>
          <w:tab w:val="left" w:pos="1200"/>
          <w:tab w:val="left" w:pos="3112"/>
          <w:tab w:val="left" w:pos="4600"/>
        </w:tabs>
        <w:spacing w:line="400" w:lineRule="exact"/>
        <w:ind w:firstLine="450" w:firstLineChars="200"/>
        <w:rPr>
          <w:rFonts w:hint="eastAsia" w:ascii="宋体" w:hAnsi="宋体" w:cs="宋体"/>
          <w:b/>
          <w:bCs/>
          <w:color w:val="000000" w:themeColor="text1"/>
          <w:spacing w:val="7"/>
          <w:szCs w:val="21"/>
          <w:highlight w:val="none"/>
          <w14:textFill>
            <w14:solidFill>
              <w14:schemeClr w14:val="tx1"/>
            </w14:solidFill>
          </w14:textFill>
        </w:rPr>
      </w:pPr>
      <w:r>
        <w:rPr>
          <w:rFonts w:hint="eastAsia" w:ascii="宋体" w:hAnsi="宋体" w:cs="宋体"/>
          <w:b/>
          <w:bCs/>
          <w:color w:val="000000" w:themeColor="text1"/>
          <w:spacing w:val="7"/>
          <w:szCs w:val="21"/>
          <w:highlight w:val="none"/>
          <w14:textFill>
            <w14:solidFill>
              <w14:schemeClr w14:val="tx1"/>
            </w14:solidFill>
          </w14:textFill>
        </w:rPr>
        <w:t>3.3除专用资格要求中明确接受联合体投标的项目外，不接受联合体投标。</w:t>
      </w:r>
    </w:p>
    <w:p>
      <w:pPr>
        <w:tabs>
          <w:tab w:val="left" w:pos="1200"/>
          <w:tab w:val="left" w:pos="3112"/>
          <w:tab w:val="left" w:pos="4600"/>
        </w:tabs>
        <w:spacing w:line="400" w:lineRule="exact"/>
        <w:ind w:firstLine="450" w:firstLineChars="200"/>
        <w:rPr>
          <w:color w:val="000000" w:themeColor="text1"/>
          <w:spacing w:val="7"/>
          <w:szCs w:val="21"/>
          <w:highlight w:val="none"/>
          <w14:textFill>
            <w14:solidFill>
              <w14:schemeClr w14:val="tx1"/>
            </w14:solidFill>
          </w14:textFill>
        </w:rPr>
      </w:pPr>
      <w:r>
        <w:rPr>
          <w:rFonts w:hint="eastAsia" w:ascii="宋体" w:hAnsi="宋体" w:cs="宋体"/>
          <w:b/>
          <w:bCs/>
          <w:color w:val="000000" w:themeColor="text1"/>
          <w:spacing w:val="7"/>
          <w:szCs w:val="21"/>
          <w:highlight w:val="none"/>
          <w14:textFill>
            <w14:solidFill>
              <w14:schemeClr w14:val="tx1"/>
            </w14:solidFill>
          </w14:textFill>
        </w:rPr>
        <w:t>3.4</w:t>
      </w:r>
      <w:r>
        <w:rPr>
          <w:rFonts w:hint="eastAsia"/>
          <w:b/>
          <w:bCs/>
          <w:color w:val="000000" w:themeColor="text1"/>
          <w:spacing w:val="7"/>
          <w:szCs w:val="21"/>
          <w:highlight w:val="none"/>
          <w14:textFill>
            <w14:solidFill>
              <w14:schemeClr w14:val="tx1"/>
            </w14:solidFill>
          </w14:textFill>
        </w:rPr>
        <w:t>如接受联合体投标的，投标人还应遵守以下规定：</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color w:val="000000" w:themeColor="text1"/>
          <w:kern w:val="2"/>
          <w:sz w:val="21"/>
          <w:highlight w:val="none"/>
          <w14:textFill>
            <w14:solidFill>
              <w14:schemeClr w14:val="tx1"/>
            </w14:solidFill>
          </w14:textFill>
        </w:rPr>
        <w:t>（1）联合体各方均应满足</w:t>
      </w:r>
      <w:r>
        <w:rPr>
          <w:color w:val="000000" w:themeColor="text1"/>
          <w:kern w:val="2"/>
          <w:sz w:val="21"/>
          <w:highlight w:val="none"/>
          <w14:textFill>
            <w14:solidFill>
              <w14:schemeClr w14:val="tx1"/>
            </w14:solidFill>
          </w14:textFill>
        </w:rPr>
        <w:t>3.1款和3.2款的规定。</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color w:val="000000" w:themeColor="text1"/>
          <w:kern w:val="2"/>
          <w:sz w:val="21"/>
          <w:highlight w:val="none"/>
          <w14:textFill>
            <w14:solidFill>
              <w14:schemeClr w14:val="tx1"/>
            </w14:solidFill>
          </w14:textFill>
        </w:rPr>
        <w:t>（</w:t>
      </w:r>
      <w:r>
        <w:rPr>
          <w:color w:val="000000" w:themeColor="text1"/>
          <w:kern w:val="2"/>
          <w:sz w:val="21"/>
          <w:highlight w:val="none"/>
          <w14:textFill>
            <w14:solidFill>
              <w14:schemeClr w14:val="tx1"/>
            </w14:solidFill>
          </w14:textFill>
        </w:rPr>
        <w:t>2</w:t>
      </w:r>
      <w:r>
        <w:rPr>
          <w:rFonts w:hint="eastAsia"/>
          <w:color w:val="000000" w:themeColor="text1"/>
          <w:kern w:val="2"/>
          <w:sz w:val="21"/>
          <w:highlight w:val="none"/>
          <w14:textFill>
            <w14:solidFill>
              <w14:schemeClr w14:val="tx1"/>
            </w14:solidFill>
          </w14:textFill>
        </w:rPr>
        <w:t>）</w:t>
      </w:r>
      <w:r>
        <w:rPr>
          <w:color w:val="000000" w:themeColor="text1"/>
          <w:kern w:val="2"/>
          <w:sz w:val="21"/>
          <w:highlight w:val="none"/>
          <w14:textFill>
            <w14:solidFill>
              <w14:schemeClr w14:val="tx1"/>
            </w14:solidFill>
          </w14:textFill>
        </w:rPr>
        <w:t>联合体各方应按照招标文件提供的格式签订联合体协议书，明确联合体牵头人和各方的权利义务</w:t>
      </w:r>
      <w:r>
        <w:rPr>
          <w:rFonts w:hint="eastAsia"/>
          <w:color w:val="000000" w:themeColor="text1"/>
          <w:kern w:val="2"/>
          <w:sz w:val="21"/>
          <w:highlight w:val="none"/>
          <w14:textFill>
            <w14:solidFill>
              <w14:schemeClr w14:val="tx1"/>
            </w14:solidFill>
          </w14:textFill>
        </w:rPr>
        <w:t>。</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color w:val="000000" w:themeColor="text1"/>
          <w:kern w:val="2"/>
          <w:sz w:val="21"/>
          <w:highlight w:val="none"/>
          <w14:textFill>
            <w14:solidFill>
              <w14:schemeClr w14:val="tx1"/>
            </w14:solidFill>
          </w14:textFill>
        </w:rPr>
        <w:t>（</w:t>
      </w:r>
      <w:r>
        <w:rPr>
          <w:color w:val="000000" w:themeColor="text1"/>
          <w:kern w:val="2"/>
          <w:sz w:val="21"/>
          <w:highlight w:val="none"/>
          <w14:textFill>
            <w14:solidFill>
              <w14:schemeClr w14:val="tx1"/>
            </w14:solidFill>
          </w14:textFill>
        </w:rPr>
        <w:t>3</w:t>
      </w:r>
      <w:r>
        <w:rPr>
          <w:rFonts w:hint="eastAsia"/>
          <w:color w:val="000000" w:themeColor="text1"/>
          <w:kern w:val="2"/>
          <w:sz w:val="21"/>
          <w:highlight w:val="none"/>
          <w14:textFill>
            <w14:solidFill>
              <w14:schemeClr w14:val="tx1"/>
            </w14:solidFill>
          </w14:textFill>
        </w:rPr>
        <w:t>）联合体牵头人代表联合体各方负责获取本项目的招标文件及投标工作。</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color w:val="000000" w:themeColor="text1"/>
          <w:kern w:val="2"/>
          <w:sz w:val="21"/>
          <w:highlight w:val="none"/>
          <w14:textFill>
            <w14:solidFill>
              <w14:schemeClr w14:val="tx1"/>
            </w14:solidFill>
          </w14:textFill>
        </w:rPr>
        <w:t>（4）</w:t>
      </w:r>
      <w:r>
        <w:rPr>
          <w:rFonts w:hint="eastAsia"/>
          <w:color w:val="000000" w:themeColor="text1"/>
          <w:kern w:val="2"/>
          <w:sz w:val="21"/>
          <w:highlight w:val="none"/>
          <w14:textFill>
            <w14:solidFill>
              <w14:schemeClr w14:val="tx1"/>
            </w14:solidFill>
          </w14:textFill>
        </w:rPr>
        <w:t>由同一专业的单位组成的联合体，按照资质等级较低的单位确定资质等级；不同专业分工由不同单位分别承担的，按照各自的专业资质确定联合体的资质。</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color w:val="000000" w:themeColor="text1"/>
          <w:kern w:val="2"/>
          <w:sz w:val="21"/>
          <w:highlight w:val="none"/>
          <w14:textFill>
            <w14:solidFill>
              <w14:schemeClr w14:val="tx1"/>
            </w14:solidFill>
          </w14:textFill>
        </w:rPr>
        <w:t>（5）联合体各方不得再以自己名义单独或参加其他联合体在同一标包中投标。</w:t>
      </w:r>
    </w:p>
    <w:p>
      <w:pPr>
        <w:tabs>
          <w:tab w:val="left" w:pos="1200"/>
          <w:tab w:val="left" w:pos="3112"/>
          <w:tab w:val="left" w:pos="4600"/>
        </w:tabs>
        <w:spacing w:line="400" w:lineRule="exact"/>
        <w:ind w:firstLine="450" w:firstLineChars="200"/>
        <w:rPr>
          <w:rFonts w:hint="eastAsia" w:ascii="宋体" w:hAnsi="宋体" w:cs="宋体"/>
          <w:b/>
          <w:bCs/>
          <w:color w:val="000000" w:themeColor="text1"/>
          <w:spacing w:val="7"/>
          <w:szCs w:val="21"/>
          <w:highlight w:val="none"/>
          <w14:textFill>
            <w14:solidFill>
              <w14:schemeClr w14:val="tx1"/>
            </w14:solidFill>
          </w14:textFill>
        </w:rPr>
      </w:pPr>
      <w:r>
        <w:rPr>
          <w:rFonts w:hint="eastAsia" w:ascii="宋体" w:hAnsi="宋体" w:cs="宋体"/>
          <w:b/>
          <w:bCs/>
          <w:color w:val="000000" w:themeColor="text1"/>
          <w:spacing w:val="7"/>
          <w:szCs w:val="21"/>
          <w:highlight w:val="none"/>
          <w14:textFill>
            <w14:solidFill>
              <w14:schemeClr w14:val="tx1"/>
            </w14:solidFill>
          </w14:textFill>
        </w:rPr>
        <w:t>3.5 除专用资格要求中明确接受代理商投标的项目外，不接受代理商投标。</w:t>
      </w:r>
    </w:p>
    <w:p>
      <w:pPr>
        <w:tabs>
          <w:tab w:val="left" w:pos="1200"/>
          <w:tab w:val="left" w:pos="3112"/>
          <w:tab w:val="left" w:pos="4600"/>
        </w:tabs>
        <w:spacing w:line="400" w:lineRule="exact"/>
        <w:ind w:firstLine="450" w:firstLineChars="200"/>
        <w:rPr>
          <w:rFonts w:hint="eastAsia" w:ascii="宋体" w:hAnsi="宋体" w:cs="宋体"/>
          <w:b/>
          <w:bCs/>
          <w:color w:val="000000" w:themeColor="text1"/>
          <w:spacing w:val="7"/>
          <w:szCs w:val="21"/>
          <w:highlight w:val="none"/>
          <w14:textFill>
            <w14:solidFill>
              <w14:schemeClr w14:val="tx1"/>
            </w14:solidFill>
          </w14:textFill>
        </w:rPr>
      </w:pPr>
      <w:r>
        <w:rPr>
          <w:rFonts w:hint="eastAsia" w:ascii="宋体" w:hAnsi="宋体" w:cs="宋体"/>
          <w:b/>
          <w:bCs/>
          <w:color w:val="000000" w:themeColor="text1"/>
          <w:spacing w:val="7"/>
          <w:szCs w:val="21"/>
          <w:highlight w:val="none"/>
          <w14:textFill>
            <w14:solidFill>
              <w14:schemeClr w14:val="tx1"/>
            </w14:solidFill>
          </w14:textFill>
        </w:rPr>
        <w:t>3.6 本次</w:t>
      </w:r>
      <w:r>
        <w:rPr>
          <w:rFonts w:hint="eastAsia" w:ascii="宋体" w:hAnsi="宋体" w:cs="宋体"/>
          <w:b/>
          <w:bCs/>
          <w:color w:val="000000" w:themeColor="text1"/>
          <w:spacing w:val="7"/>
          <w:szCs w:val="21"/>
          <w:highlight w:val="none"/>
          <w:lang w:val="en-US" w:eastAsia="zh-CN"/>
          <w14:textFill>
            <w14:solidFill>
              <w14:schemeClr w14:val="tx1"/>
            </w14:solidFill>
          </w14:textFill>
        </w:rPr>
        <w:t>招标</w:t>
      </w:r>
      <w:r>
        <w:rPr>
          <w:rFonts w:hint="eastAsia" w:ascii="宋体" w:hAnsi="宋体" w:cs="宋体"/>
          <w:b/>
          <w:bCs/>
          <w:color w:val="000000" w:themeColor="text1"/>
          <w:spacing w:val="7"/>
          <w:szCs w:val="21"/>
          <w:highlight w:val="none"/>
          <w14:textFill>
            <w14:solidFill>
              <w14:schemeClr w14:val="tx1"/>
            </w14:solidFill>
          </w14:textFill>
        </w:rPr>
        <w:t>不接受投标人委托中介机构或者中间人编制投标文件或代行办理投标事宜。</w:t>
      </w:r>
    </w:p>
    <w:p>
      <w:pPr>
        <w:tabs>
          <w:tab w:val="left" w:pos="1200"/>
          <w:tab w:val="left" w:pos="3112"/>
          <w:tab w:val="left" w:pos="4600"/>
        </w:tabs>
        <w:spacing w:line="400" w:lineRule="exact"/>
        <w:ind w:firstLine="450" w:firstLineChars="200"/>
        <w:rPr>
          <w:b/>
          <w:bCs/>
          <w:color w:val="000000" w:themeColor="text1"/>
          <w:spacing w:val="7"/>
          <w:szCs w:val="21"/>
          <w:highlight w:val="none"/>
          <w14:textFill>
            <w14:solidFill>
              <w14:schemeClr w14:val="tx1"/>
            </w14:solidFill>
          </w14:textFill>
        </w:rPr>
      </w:pPr>
      <w:r>
        <w:rPr>
          <w:rFonts w:hint="eastAsia" w:ascii="宋体" w:hAnsi="宋体" w:cs="宋体"/>
          <w:b/>
          <w:bCs/>
          <w:color w:val="000000" w:themeColor="text1"/>
          <w:spacing w:val="7"/>
          <w:szCs w:val="21"/>
          <w:highlight w:val="none"/>
          <w14:textFill>
            <w14:solidFill>
              <w14:schemeClr w14:val="tx1"/>
            </w14:solidFill>
          </w14:textFill>
        </w:rPr>
        <w:t xml:space="preserve">3.7 </w:t>
      </w:r>
      <w:r>
        <w:rPr>
          <w:rFonts w:hint="eastAsia"/>
          <w:b/>
          <w:bCs/>
          <w:color w:val="000000" w:themeColor="text1"/>
          <w:spacing w:val="7"/>
          <w:szCs w:val="21"/>
          <w:highlight w:val="none"/>
          <w14:textFill>
            <w14:solidFill>
              <w14:schemeClr w14:val="tx1"/>
            </w14:solidFill>
          </w14:textFill>
        </w:rPr>
        <w:t>各投标人均可就本次招标的部分或全部标包投标。</w:t>
      </w:r>
    </w:p>
    <w:p>
      <w:pPr>
        <w:adjustRightInd w:val="0"/>
        <w:snapToGrid w:val="0"/>
        <w:spacing w:line="400" w:lineRule="exact"/>
        <w:outlineLvl w:val="1"/>
        <w:rPr>
          <w:rFonts w:ascii="黑体" w:eastAsia="黑体"/>
          <w:b/>
          <w:color w:val="000000" w:themeColor="text1"/>
          <w:sz w:val="24"/>
          <w:highlight w:val="none"/>
          <w14:textFill>
            <w14:solidFill>
              <w14:schemeClr w14:val="tx1"/>
            </w14:solidFill>
          </w14:textFill>
        </w:rPr>
      </w:pPr>
      <w:bookmarkStart w:id="42" w:name="_bookmark5"/>
      <w:bookmarkEnd w:id="42"/>
      <w:bookmarkStart w:id="43" w:name="_Toc18436"/>
      <w:bookmarkStart w:id="44" w:name="_Toc62551532"/>
      <w:bookmarkStart w:id="45" w:name="_Toc12413"/>
      <w:bookmarkStart w:id="46" w:name="_Toc19223"/>
      <w:r>
        <w:rPr>
          <w:rFonts w:hint="eastAsia" w:ascii="黑体" w:eastAsia="黑体"/>
          <w:b/>
          <w:color w:val="000000" w:themeColor="text1"/>
          <w:sz w:val="24"/>
          <w:highlight w:val="none"/>
          <w14:textFill>
            <w14:solidFill>
              <w14:schemeClr w14:val="tx1"/>
            </w14:solidFill>
          </w14:textFill>
        </w:rPr>
        <w:t>4.</w:t>
      </w:r>
      <w:r>
        <w:rPr>
          <w:rFonts w:ascii="黑体" w:eastAsia="黑体"/>
          <w:b/>
          <w:color w:val="000000" w:themeColor="text1"/>
          <w:sz w:val="24"/>
          <w:highlight w:val="none"/>
          <w14:textFill>
            <w14:solidFill>
              <w14:schemeClr w14:val="tx1"/>
            </w14:solidFill>
          </w14:textFill>
        </w:rPr>
        <w:t>招标文件的获取</w:t>
      </w:r>
      <w:bookmarkEnd w:id="43"/>
      <w:bookmarkEnd w:id="44"/>
      <w:bookmarkEnd w:id="45"/>
      <w:bookmarkEnd w:id="46"/>
    </w:p>
    <w:p>
      <w:pPr>
        <w:tabs>
          <w:tab w:val="left" w:pos="1200"/>
          <w:tab w:val="left" w:pos="3112"/>
          <w:tab w:val="left" w:pos="4600"/>
        </w:tabs>
        <w:spacing w:line="400" w:lineRule="exact"/>
        <w:ind w:firstLine="450" w:firstLineChars="200"/>
        <w:rPr>
          <w:b/>
          <w:bCs/>
          <w:color w:val="000000" w:themeColor="text1"/>
          <w:spacing w:val="7"/>
          <w:szCs w:val="21"/>
          <w:highlight w:val="none"/>
          <w14:textFill>
            <w14:solidFill>
              <w14:schemeClr w14:val="tx1"/>
            </w14:solidFill>
          </w14:textFill>
        </w:rPr>
      </w:pPr>
      <w:r>
        <w:rPr>
          <w:rFonts w:hint="eastAsia" w:ascii="宋体" w:hAnsi="宋体" w:cs="宋体"/>
          <w:b/>
          <w:bCs/>
          <w:color w:val="000000" w:themeColor="text1"/>
          <w:spacing w:val="7"/>
          <w:szCs w:val="21"/>
          <w:highlight w:val="none"/>
          <w14:textFill>
            <w14:solidFill>
              <w14:schemeClr w14:val="tx1"/>
            </w14:solidFill>
          </w14:textFill>
        </w:rPr>
        <w:t>4.1</w:t>
      </w:r>
      <w:r>
        <w:rPr>
          <w:rFonts w:hint="eastAsia"/>
          <w:b/>
          <w:bCs/>
          <w:color w:val="000000" w:themeColor="text1"/>
          <w:spacing w:val="7"/>
          <w:szCs w:val="21"/>
          <w:highlight w:val="none"/>
          <w14:textFill>
            <w14:solidFill>
              <w14:schemeClr w14:val="tx1"/>
            </w14:solidFill>
          </w14:textFill>
        </w:rPr>
        <w:t xml:space="preserve"> 招标文件（电子文件）免费获取。</w:t>
      </w:r>
    </w:p>
    <w:p>
      <w:pPr>
        <w:pStyle w:val="20"/>
        <w:tabs>
          <w:tab w:val="left" w:pos="0"/>
        </w:tabs>
        <w:wordWrap w:val="0"/>
        <w:spacing w:line="400" w:lineRule="exact"/>
        <w:ind w:firstLine="420" w:firstLineChars="200"/>
        <w:jc w:val="both"/>
        <w:rPr>
          <w:color w:val="000000" w:themeColor="text1"/>
          <w:kern w:val="2"/>
          <w:sz w:val="21"/>
          <w:highlight w:val="none"/>
          <w14:textFill>
            <w14:solidFill>
              <w14:schemeClr w14:val="tx1"/>
            </w14:solidFill>
          </w14:textFill>
        </w:rPr>
      </w:pPr>
      <w:r>
        <w:rPr>
          <w:color w:val="000000" w:themeColor="text1"/>
          <w:kern w:val="2"/>
          <w:sz w:val="21"/>
          <w:highlight w:val="none"/>
          <w:lang w:val="en-US"/>
          <w14:textFill>
            <w14:solidFill>
              <w14:schemeClr w14:val="tx1"/>
            </w14:solidFill>
          </w14:textFill>
        </w:rPr>
        <w:t>4.</w:t>
      </w:r>
      <w:r>
        <w:rPr>
          <w:rFonts w:hint="eastAsia"/>
          <w:color w:val="000000" w:themeColor="text1"/>
          <w:kern w:val="2"/>
          <w:sz w:val="21"/>
          <w:highlight w:val="none"/>
          <w:lang w:val="en-US"/>
          <w14:textFill>
            <w14:solidFill>
              <w14:schemeClr w14:val="tx1"/>
            </w14:solidFill>
          </w14:textFill>
        </w:rPr>
        <w:t xml:space="preserve">2 </w:t>
      </w:r>
      <w:r>
        <w:rPr>
          <w:color w:val="000000" w:themeColor="text1"/>
          <w:kern w:val="2"/>
          <w:sz w:val="21"/>
          <w:highlight w:val="none"/>
          <w14:textFill>
            <w14:solidFill>
              <w14:schemeClr w14:val="tx1"/>
            </w14:solidFill>
          </w14:textFill>
        </w:rPr>
        <w:t>凡有意参加投标者</w:t>
      </w:r>
      <w:r>
        <w:rPr>
          <w:color w:val="000000" w:themeColor="text1"/>
          <w:kern w:val="2"/>
          <w:sz w:val="21"/>
          <w:highlight w:val="none"/>
          <w:lang w:val="en-US"/>
          <w14:textFill>
            <w14:solidFill>
              <w14:schemeClr w14:val="tx1"/>
            </w14:solidFill>
          </w14:textFill>
        </w:rPr>
        <w:t>，</w:t>
      </w:r>
      <w:r>
        <w:rPr>
          <w:color w:val="000000" w:themeColor="text1"/>
          <w:kern w:val="2"/>
          <w:sz w:val="21"/>
          <w:highlight w:val="none"/>
          <w14:textFill>
            <w14:solidFill>
              <w14:schemeClr w14:val="tx1"/>
            </w14:solidFill>
          </w14:textFill>
        </w:rPr>
        <w:t>请于</w:t>
      </w:r>
      <w:r>
        <w:rPr>
          <w:rFonts w:hint="eastAsia"/>
          <w:color w:val="000000"/>
          <w:sz w:val="21"/>
          <w:highlight w:val="none"/>
          <w:lang w:val="en-US" w:eastAsia="zh-CN"/>
        </w:rPr>
        <w:t>2025年11月3日起至2025年11月11日上午11:00止</w:t>
      </w:r>
      <w:r>
        <w:rPr>
          <w:color w:val="000000" w:themeColor="text1"/>
          <w:kern w:val="2"/>
          <w:sz w:val="21"/>
          <w:highlight w:val="none"/>
          <w:lang w:val="en-US"/>
          <w14:textFill>
            <w14:solidFill>
              <w14:schemeClr w14:val="tx1"/>
            </w14:solidFill>
          </w14:textFill>
        </w:rPr>
        <w:t xml:space="preserve"> （</w:t>
      </w:r>
      <w:r>
        <w:rPr>
          <w:color w:val="000000" w:themeColor="text1"/>
          <w:kern w:val="2"/>
          <w:sz w:val="21"/>
          <w:highlight w:val="none"/>
          <w14:textFill>
            <w14:solidFill>
              <w14:schemeClr w14:val="tx1"/>
            </w14:solidFill>
          </w14:textFill>
        </w:rPr>
        <w:t>北京时间</w:t>
      </w:r>
      <w:r>
        <w:rPr>
          <w:color w:val="000000" w:themeColor="text1"/>
          <w:kern w:val="2"/>
          <w:sz w:val="21"/>
          <w:highlight w:val="none"/>
          <w:lang w:val="en-US"/>
          <w14:textFill>
            <w14:solidFill>
              <w14:schemeClr w14:val="tx1"/>
            </w14:solidFill>
          </w14:textFill>
        </w:rPr>
        <w:t>，</w:t>
      </w:r>
      <w:r>
        <w:rPr>
          <w:color w:val="000000" w:themeColor="text1"/>
          <w:kern w:val="2"/>
          <w:sz w:val="21"/>
          <w:highlight w:val="none"/>
          <w14:textFill>
            <w14:solidFill>
              <w14:schemeClr w14:val="tx1"/>
            </w14:solidFill>
          </w14:textFill>
        </w:rPr>
        <w:t>下同</w:t>
      </w:r>
      <w:r>
        <w:rPr>
          <w:color w:val="000000" w:themeColor="text1"/>
          <w:kern w:val="2"/>
          <w:sz w:val="21"/>
          <w:highlight w:val="none"/>
          <w:lang w:val="en-US"/>
          <w14:textFill>
            <w14:solidFill>
              <w14:schemeClr w14:val="tx1"/>
            </w14:solidFill>
          </w14:textFill>
        </w:rPr>
        <w:t>），</w:t>
      </w:r>
      <w:r>
        <w:rPr>
          <w:rFonts w:hint="eastAsia"/>
          <w:color w:val="000000" w:themeColor="text1"/>
          <w:kern w:val="2"/>
          <w:sz w:val="21"/>
          <w:highlight w:val="none"/>
          <w14:textFill>
            <w14:solidFill>
              <w14:schemeClr w14:val="tx1"/>
            </w14:solidFill>
          </w14:textFill>
        </w:rPr>
        <w:t>登录招标人招投标交易平台信息系统</w:t>
      </w:r>
      <w:r>
        <w:rPr>
          <w:rFonts w:hint="eastAsia"/>
          <w:b/>
          <w:color w:val="000000" w:themeColor="text1"/>
          <w:kern w:val="2"/>
          <w:sz w:val="21"/>
          <w:highlight w:val="none"/>
          <w:lang w:val="en-US"/>
          <w14:textFill>
            <w14:solidFill>
              <w14:schemeClr w14:val="tx1"/>
            </w14:solidFill>
          </w14:textFill>
        </w:rPr>
        <w:t>（</w:t>
      </w:r>
      <w:r>
        <w:rPr>
          <w:rFonts w:hint="eastAsia"/>
          <w:b/>
          <w:color w:val="000000" w:themeColor="text1"/>
          <w:kern w:val="2"/>
          <w:sz w:val="21"/>
          <w:highlight w:val="none"/>
          <w14:textFill>
            <w14:solidFill>
              <w14:schemeClr w14:val="tx1"/>
            </w14:solidFill>
          </w14:textFill>
        </w:rPr>
        <w:t>国家电网有限公司电子商务平台</w:t>
      </w:r>
      <w:r>
        <w:rPr>
          <w:rFonts w:hint="eastAsia"/>
          <w:color w:val="000000" w:themeColor="text1"/>
          <w:sz w:val="21"/>
          <w:szCs w:val="21"/>
          <w:highlight w:val="none"/>
          <w:lang w:val="en-US" w:eastAsia="zh-CN"/>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https://ecp.sgcc.com.cn</w:t>
      </w:r>
      <w:r>
        <w:rPr>
          <w:rFonts w:hint="eastAsia"/>
          <w:b/>
          <w:color w:val="000000" w:themeColor="text1"/>
          <w:highlight w:val="none"/>
          <w:lang w:val="en-US" w:eastAsia="zh-CN"/>
          <w14:textFill>
            <w14:solidFill>
              <w14:schemeClr w14:val="tx1"/>
            </w14:solidFill>
          </w14:textFill>
        </w:rPr>
        <w:t xml:space="preserve">  </w:t>
      </w:r>
      <w:r>
        <w:rPr>
          <w:rFonts w:hint="eastAsia"/>
          <w:color w:val="000000" w:themeColor="text1"/>
          <w:sz w:val="21"/>
          <w:szCs w:val="21"/>
          <w:highlight w:val="none"/>
          <w:lang w:val="en-US" w:eastAsia="zh-CN"/>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https://sgccetp.com.cn</w:t>
      </w:r>
      <w:r>
        <w:rPr>
          <w:rFonts w:hint="eastAsia"/>
          <w:color w:val="000000" w:themeColor="text1"/>
          <w:kern w:val="2"/>
          <w:sz w:val="21"/>
          <w:highlight w:val="none"/>
          <w:lang w:val="en-US"/>
          <w14:textFill>
            <w14:solidFill>
              <w14:schemeClr w14:val="tx1"/>
            </w14:solidFill>
          </w14:textFill>
        </w:rPr>
        <w:t>）</w:t>
      </w:r>
      <w:r>
        <w:rPr>
          <w:rFonts w:hint="eastAsia"/>
          <w:color w:val="000000" w:themeColor="text1"/>
          <w:kern w:val="2"/>
          <w:sz w:val="21"/>
          <w:highlight w:val="none"/>
          <w14:textFill>
            <w14:solidFill>
              <w14:schemeClr w14:val="tx1"/>
            </w14:solidFill>
          </w14:textFill>
        </w:rPr>
        <w:t>获取招标文件</w:t>
      </w:r>
      <w:r>
        <w:rPr>
          <w:rFonts w:hint="eastAsia"/>
          <w:color w:val="000000" w:themeColor="text1"/>
          <w:kern w:val="2"/>
          <w:sz w:val="21"/>
          <w:highlight w:val="none"/>
          <w:lang w:val="en-US"/>
          <w14:textFill>
            <w14:solidFill>
              <w14:schemeClr w14:val="tx1"/>
            </w14:solidFill>
          </w14:textFill>
        </w:rPr>
        <w:t>，</w:t>
      </w:r>
      <w:r>
        <w:rPr>
          <w:rFonts w:hint="eastAsia"/>
          <w:color w:val="000000" w:themeColor="text1"/>
          <w:kern w:val="2"/>
          <w:sz w:val="21"/>
          <w:highlight w:val="none"/>
          <w14:textFill>
            <w14:solidFill>
              <w14:schemeClr w14:val="tx1"/>
            </w14:solidFill>
          </w14:textFill>
        </w:rPr>
        <w:t>并按《电子招标投标办法》等国家法律法规要求</w:t>
      </w:r>
      <w:r>
        <w:rPr>
          <w:rFonts w:hint="eastAsia"/>
          <w:color w:val="000000" w:themeColor="text1"/>
          <w:kern w:val="2"/>
          <w:sz w:val="21"/>
          <w:highlight w:val="none"/>
          <w:lang w:val="en-US"/>
          <w14:textFill>
            <w14:solidFill>
              <w14:schemeClr w14:val="tx1"/>
            </w14:solidFill>
          </w14:textFill>
        </w:rPr>
        <w:t>，</w:t>
      </w:r>
      <w:r>
        <w:rPr>
          <w:rFonts w:hint="eastAsia"/>
          <w:color w:val="000000" w:themeColor="text1"/>
          <w:kern w:val="2"/>
          <w:sz w:val="21"/>
          <w:highlight w:val="none"/>
          <w14:textFill>
            <w14:solidFill>
              <w14:schemeClr w14:val="tx1"/>
            </w14:solidFill>
          </w14:textFill>
        </w:rPr>
        <w:t>到第三方认证机构办理</w:t>
      </w:r>
      <w:r>
        <w:rPr>
          <w:rFonts w:hint="eastAsia"/>
          <w:color w:val="000000" w:themeColor="text1"/>
          <w:kern w:val="2"/>
          <w:sz w:val="21"/>
          <w:highlight w:val="none"/>
          <w:lang w:val="en-US"/>
          <w14:textFill>
            <w14:solidFill>
              <w14:schemeClr w14:val="tx1"/>
            </w14:solidFill>
          </w14:textFill>
        </w:rPr>
        <w:t>CA</w:t>
      </w:r>
      <w:r>
        <w:rPr>
          <w:rFonts w:hint="eastAsia"/>
          <w:color w:val="000000" w:themeColor="text1"/>
          <w:kern w:val="2"/>
          <w:sz w:val="21"/>
          <w:highlight w:val="none"/>
          <w14:textFill>
            <w14:solidFill>
              <w14:schemeClr w14:val="tx1"/>
            </w14:solidFill>
          </w14:textFill>
        </w:rPr>
        <w:t>证书电子钥匙。投标人应妥善保管招标人招投标交易平台信息系统账号和密码，以及CA数字证书和密码，因上述账号、数字证书或密码保管不当造成的损失，由投标人自行承担。</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color w:val="000000" w:themeColor="text1"/>
          <w:kern w:val="2"/>
          <w:sz w:val="21"/>
          <w:highlight w:val="none"/>
          <w14:textFill>
            <w14:solidFill>
              <w14:schemeClr w14:val="tx1"/>
            </w14:solidFill>
          </w14:textFill>
        </w:rPr>
        <w:t>投标人应在招标人招投标交易平台信息系统注册并办理</w:t>
      </w:r>
      <w:r>
        <w:rPr>
          <w:color w:val="000000" w:themeColor="text1"/>
          <w:kern w:val="2"/>
          <w:sz w:val="21"/>
          <w:highlight w:val="none"/>
          <w14:textFill>
            <w14:solidFill>
              <w14:schemeClr w14:val="tx1"/>
            </w14:solidFill>
          </w14:textFill>
        </w:rPr>
        <w:t>CA</w:t>
      </w:r>
      <w:r>
        <w:rPr>
          <w:rFonts w:hint="eastAsia"/>
          <w:color w:val="000000" w:themeColor="text1"/>
          <w:kern w:val="2"/>
          <w:sz w:val="21"/>
          <w:highlight w:val="none"/>
          <w14:textFill>
            <w14:solidFill>
              <w14:schemeClr w14:val="tx1"/>
            </w14:solidFill>
          </w14:textFill>
        </w:rPr>
        <w:t>证书电子钥匙方可获取招标文件，电子钥匙的办理流程请登录招标人招投标交易平台信息系统首页“新手指引”→“电子钥匙办理须知及电子钥匙安装包”下载所有文件仔细阅读。电子钥匙的办理需要一定的时间，请潜在投标人高度重视。由于没有及时办理电子钥匙导致获取招标文件失败，由投标人自行承担相关责任。支持电话为：4009915500</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color w:val="000000" w:themeColor="text1"/>
          <w:kern w:val="2"/>
          <w:sz w:val="21"/>
          <w:highlight w:val="none"/>
          <w14:textFill>
            <w14:solidFill>
              <w14:schemeClr w14:val="tx1"/>
            </w14:solidFill>
          </w14:textFill>
        </w:rPr>
        <w:t>4.3</w:t>
      </w:r>
      <w:r>
        <w:rPr>
          <w:rFonts w:hint="eastAsia"/>
          <w:color w:val="000000" w:themeColor="text1"/>
          <w:kern w:val="2"/>
          <w:sz w:val="21"/>
          <w:highlight w:val="none"/>
          <w:lang w:val="en-US" w:eastAsia="zh-CN"/>
          <w14:textFill>
            <w14:solidFill>
              <w14:schemeClr w14:val="tx1"/>
            </w14:solidFill>
          </w14:textFill>
        </w:rPr>
        <w:t xml:space="preserve"> </w:t>
      </w:r>
      <w:r>
        <w:rPr>
          <w:rFonts w:hint="eastAsia"/>
          <w:color w:val="000000" w:themeColor="text1"/>
          <w:kern w:val="2"/>
          <w:sz w:val="21"/>
          <w:highlight w:val="none"/>
          <w14:textFill>
            <w14:solidFill>
              <w14:schemeClr w14:val="tx1"/>
            </w14:solidFill>
          </w14:textFill>
        </w:rPr>
        <w:t>投标人需利用投标工具进行电子投标文件编制。投标工具下载方式：请各投标人在招标人招投标交易平台信息系统首页“下载专区→供应商投标工具”下载并安装。操作手册及注意事项见首页“操作说明→ECP2.0招标采购流程供应商操作手册“或“演示视频→投标工具新U+操作指导视频”。投标工具操作问题联系招标人招投标交易平台信息系统支持服务电话：010-63411000。使用投标工具电脑配置要求：内存大于8GB，64位操作系统。</w:t>
      </w:r>
    </w:p>
    <w:p>
      <w:pPr>
        <w:tabs>
          <w:tab w:val="left" w:pos="1200"/>
          <w:tab w:val="left" w:pos="3112"/>
          <w:tab w:val="left" w:pos="4600"/>
        </w:tabs>
        <w:spacing w:line="400" w:lineRule="exact"/>
        <w:ind w:firstLine="450" w:firstLineChars="200"/>
        <w:rPr>
          <w:rFonts w:hint="eastAsia" w:ascii="宋体" w:hAnsi="宋体" w:eastAsia="宋体" w:cs="宋体"/>
          <w:b/>
          <w:bCs/>
          <w:color w:val="000000" w:themeColor="text1"/>
          <w:spacing w:val="7"/>
          <w:szCs w:val="21"/>
          <w:highlight w:val="none"/>
          <w14:textFill>
            <w14:solidFill>
              <w14:schemeClr w14:val="tx1"/>
            </w14:solidFill>
          </w14:textFill>
        </w:rPr>
      </w:pPr>
      <w:r>
        <w:rPr>
          <w:rFonts w:hint="eastAsia" w:ascii="宋体" w:hAnsi="宋体" w:eastAsia="宋体" w:cs="宋体"/>
          <w:b/>
          <w:bCs/>
          <w:color w:val="000000" w:themeColor="text1"/>
          <w:spacing w:val="7"/>
          <w:szCs w:val="21"/>
          <w:highlight w:val="none"/>
          <w14:textFill>
            <w14:solidFill>
              <w14:schemeClr w14:val="tx1"/>
            </w14:solidFill>
          </w14:textFill>
        </w:rPr>
        <w:t>4.4注意事项</w:t>
      </w:r>
    </w:p>
    <w:p>
      <w:pPr>
        <w:tabs>
          <w:tab w:val="left" w:pos="1200"/>
          <w:tab w:val="left" w:pos="3112"/>
          <w:tab w:val="left" w:pos="4600"/>
        </w:tabs>
        <w:spacing w:line="400" w:lineRule="exact"/>
        <w:ind w:firstLine="450" w:firstLineChars="200"/>
        <w:rPr>
          <w:rFonts w:hint="eastAsia" w:ascii="宋体" w:hAnsi="宋体" w:eastAsia="宋体" w:cs="宋体"/>
          <w:b/>
          <w:bCs/>
          <w:color w:val="000000" w:themeColor="text1"/>
          <w:spacing w:val="7"/>
          <w:szCs w:val="21"/>
          <w:highlight w:val="none"/>
          <w14:textFill>
            <w14:solidFill>
              <w14:schemeClr w14:val="tx1"/>
            </w14:solidFill>
          </w14:textFill>
        </w:rPr>
      </w:pPr>
    </w:p>
    <w:p>
      <w:pPr>
        <w:adjustRightInd w:val="0"/>
        <w:snapToGrid w:val="0"/>
        <w:spacing w:before="240" w:beforeLines="100" w:after="120" w:afterLines="50" w:line="400" w:lineRule="exact"/>
        <w:outlineLvl w:val="1"/>
        <w:rPr>
          <w:rFonts w:ascii="黑体" w:eastAsia="黑体"/>
          <w:b/>
          <w:color w:val="000000" w:themeColor="text1"/>
          <w:sz w:val="24"/>
          <w:highlight w:val="none"/>
          <w14:textFill>
            <w14:solidFill>
              <w14:schemeClr w14:val="tx1"/>
            </w14:solidFill>
          </w14:textFill>
        </w:rPr>
      </w:pPr>
      <w:bookmarkStart w:id="47" w:name="_bookmark6"/>
      <w:bookmarkEnd w:id="47"/>
      <w:bookmarkStart w:id="48" w:name="_Toc15733"/>
      <w:bookmarkStart w:id="49" w:name="_Toc62551533"/>
      <w:bookmarkStart w:id="50" w:name="_Toc31762"/>
      <w:bookmarkStart w:id="51" w:name="_Toc30381"/>
      <w:r>
        <w:rPr>
          <w:rFonts w:hint="eastAsia" w:ascii="黑体" w:eastAsia="黑体"/>
          <w:b/>
          <w:color w:val="000000" w:themeColor="text1"/>
          <w:sz w:val="24"/>
          <w:highlight w:val="none"/>
          <w14:textFill>
            <w14:solidFill>
              <w14:schemeClr w14:val="tx1"/>
            </w14:solidFill>
          </w14:textFill>
        </w:rPr>
        <w:t>5.</w:t>
      </w:r>
      <w:r>
        <w:rPr>
          <w:rFonts w:ascii="黑体" w:eastAsia="黑体"/>
          <w:b/>
          <w:color w:val="000000" w:themeColor="text1"/>
          <w:sz w:val="24"/>
          <w:highlight w:val="none"/>
          <w14:textFill>
            <w14:solidFill>
              <w14:schemeClr w14:val="tx1"/>
            </w14:solidFill>
          </w14:textFill>
        </w:rPr>
        <w:t>投标文件的</w:t>
      </w:r>
      <w:bookmarkEnd w:id="48"/>
      <w:bookmarkEnd w:id="49"/>
      <w:bookmarkEnd w:id="50"/>
      <w:bookmarkEnd w:id="51"/>
      <w:r>
        <w:rPr>
          <w:rFonts w:hint="eastAsia" w:ascii="黑体" w:eastAsia="黑体"/>
          <w:b/>
          <w:color w:val="000000" w:themeColor="text1"/>
          <w:sz w:val="24"/>
          <w:highlight w:val="none"/>
          <w14:textFill>
            <w14:solidFill>
              <w14:schemeClr w14:val="tx1"/>
            </w14:solidFill>
          </w14:textFill>
        </w:rPr>
        <w:t>提交</w:t>
      </w:r>
    </w:p>
    <w:p>
      <w:pPr>
        <w:tabs>
          <w:tab w:val="left" w:pos="1200"/>
          <w:tab w:val="left" w:pos="3112"/>
          <w:tab w:val="left" w:pos="4600"/>
        </w:tabs>
        <w:spacing w:line="400" w:lineRule="exact"/>
        <w:ind w:firstLine="448" w:firstLineChars="200"/>
        <w:rPr>
          <w:color w:val="000000" w:themeColor="text1"/>
          <w:spacing w:val="7"/>
          <w:highlight w:val="none"/>
          <w14:textFill>
            <w14:solidFill>
              <w14:schemeClr w14:val="tx1"/>
            </w14:solidFill>
          </w14:textFill>
        </w:rPr>
      </w:pPr>
      <w:bookmarkStart w:id="52" w:name="_bookmark7"/>
      <w:bookmarkEnd w:id="52"/>
      <w:r>
        <w:rPr>
          <w:rFonts w:hint="eastAsia" w:ascii="宋体" w:hAnsi="宋体" w:eastAsia="宋体" w:cs="宋体"/>
          <w:color w:val="000000" w:themeColor="text1"/>
          <w:spacing w:val="7"/>
          <w:highlight w:val="none"/>
          <w14:textFill>
            <w14:solidFill>
              <w14:schemeClr w14:val="tx1"/>
            </w14:solidFill>
          </w14:textFill>
        </w:rPr>
        <w:t>5.1</w:t>
      </w:r>
      <w:r>
        <w:rPr>
          <w:b/>
          <w:bCs/>
          <w:color w:val="000000" w:themeColor="text1"/>
          <w:spacing w:val="7"/>
          <w:highlight w:val="none"/>
          <w14:textFill>
            <w14:solidFill>
              <w14:schemeClr w14:val="tx1"/>
            </w14:solidFill>
          </w14:textFill>
        </w:rPr>
        <w:t>投标文件提交的截止时间（投标截止时间，下同）</w:t>
      </w:r>
      <w:r>
        <w:rPr>
          <w:rFonts w:hint="eastAsia"/>
          <w:b/>
          <w:bCs/>
          <w:color w:val="000000" w:themeColor="text1"/>
          <w:spacing w:val="7"/>
          <w:highlight w:val="none"/>
          <w14:textFill>
            <w14:solidFill>
              <w14:schemeClr w14:val="tx1"/>
            </w14:solidFill>
          </w14:textFill>
        </w:rPr>
        <w:t>为</w:t>
      </w:r>
      <w:r>
        <w:rPr>
          <w:rFonts w:hint="eastAsia" w:ascii="宋体"/>
          <w:b/>
          <w:bCs/>
          <w:color w:val="000000"/>
          <w:spacing w:val="7"/>
          <w:szCs w:val="21"/>
          <w:highlight w:val="none"/>
          <w:lang w:eastAsia="zh-CN"/>
        </w:rPr>
        <w:t>2025年11月25日上午9:30</w:t>
      </w:r>
      <w:r>
        <w:rPr>
          <w:rFonts w:hint="eastAsia"/>
          <w:b/>
          <w:bCs/>
          <w:color w:val="000000" w:themeColor="text1"/>
          <w:spacing w:val="7"/>
          <w:highlight w:val="none"/>
          <w14:textFill>
            <w14:solidFill>
              <w14:schemeClr w14:val="tx1"/>
            </w14:solidFill>
          </w14:textFill>
        </w:rPr>
        <w:t>（北京时间）</w:t>
      </w:r>
      <w:r>
        <w:rPr>
          <w:rFonts w:hint="eastAsia"/>
          <w:color w:val="000000" w:themeColor="text1"/>
          <w:highlight w:val="none"/>
          <w14:textFill>
            <w14:solidFill>
              <w14:schemeClr w14:val="tx1"/>
            </w14:solidFill>
          </w14:textFill>
        </w:rPr>
        <w:t>。</w:t>
      </w:r>
    </w:p>
    <w:p>
      <w:pPr>
        <w:tabs>
          <w:tab w:val="left" w:pos="1200"/>
          <w:tab w:val="left" w:pos="3112"/>
          <w:tab w:val="left" w:pos="4600"/>
        </w:tabs>
        <w:spacing w:line="400" w:lineRule="exact"/>
        <w:ind w:firstLine="422" w:firstLineChars="200"/>
        <w:rPr>
          <w:rFonts w:ascii="宋体" w:hAnsi="宋体" w:cs="宋体"/>
          <w:bCs/>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投标文件提交时间：</w:t>
      </w:r>
      <w:r>
        <w:rPr>
          <w:rFonts w:hint="eastAsia" w:ascii="宋体" w:hAnsi="宋体" w:cs="宋体"/>
          <w:bCs/>
          <w:color w:val="000000" w:themeColor="text1"/>
          <w:szCs w:val="21"/>
          <w:highlight w:val="none"/>
          <w14:textFill>
            <w14:solidFill>
              <w14:schemeClr w14:val="tx1"/>
            </w14:solidFill>
          </w14:textFill>
        </w:rPr>
        <w:t>所有投标文件应当在投标截止时间前递交（提交）招标人。</w:t>
      </w:r>
    </w:p>
    <w:p>
      <w:pPr>
        <w:adjustRightInd w:val="0"/>
        <w:snapToGrid w:val="0"/>
        <w:spacing w:line="400" w:lineRule="exact"/>
        <w:ind w:firstLine="422" w:firstLineChars="200"/>
        <w:rPr>
          <w:b/>
          <w:color w:val="000000"/>
          <w:highlight w:val="none"/>
        </w:rPr>
      </w:pPr>
      <w:r>
        <w:rPr>
          <w:rFonts w:hint="eastAsia" w:ascii="宋体" w:hAnsi="宋体" w:cs="宋体"/>
          <w:b/>
          <w:color w:val="000000" w:themeColor="text1"/>
          <w:szCs w:val="21"/>
          <w:highlight w:val="none"/>
          <w14:textFill>
            <w14:solidFill>
              <w14:schemeClr w14:val="tx1"/>
            </w14:solidFill>
          </w14:textFill>
        </w:rPr>
        <w:t>投标文件提交地点：</w:t>
      </w:r>
      <w:r>
        <w:rPr>
          <w:rFonts w:hint="eastAsia"/>
          <w:bCs/>
          <w:color w:val="000000"/>
          <w:highlight w:val="none"/>
        </w:rPr>
        <w:t>电子投标文件提交招标人招投标交易平台信息系统。</w:t>
      </w:r>
    </w:p>
    <w:p>
      <w:pPr>
        <w:adjustRightInd w:val="0"/>
        <w:snapToGrid w:val="0"/>
        <w:spacing w:line="400" w:lineRule="exact"/>
        <w:ind w:firstLine="420" w:firstLineChars="200"/>
        <w:rPr>
          <w:rFonts w:hint="eastAsia" w:ascii="宋体" w:hAnsi="宋体" w:eastAsia="宋体" w:cs="宋体"/>
          <w:highlight w:val="none"/>
          <w:lang w:val="zh-CN"/>
        </w:rPr>
      </w:pPr>
      <w:r>
        <w:rPr>
          <w:rFonts w:hint="eastAsia" w:ascii="宋体" w:hAnsi="宋体" w:eastAsia="宋体" w:cs="宋体"/>
          <w:color w:val="000000" w:themeColor="text1"/>
          <w:highlight w:val="none"/>
          <w14:textFill>
            <w14:solidFill>
              <w14:schemeClr w14:val="tx1"/>
            </w14:solidFill>
          </w14:textFill>
        </w:rPr>
        <w:t>电子投标文件递交方式详见第六章投标文件格式。如要求全部文件上传</w:t>
      </w:r>
      <w:r>
        <w:rPr>
          <w:rFonts w:hint="eastAsia" w:ascii="宋体" w:hAnsi="宋体" w:cs="宋体"/>
          <w:color w:val="000000" w:themeColor="text1"/>
          <w:highlight w:val="none"/>
          <w:lang w:eastAsia="zh-CN"/>
          <w14:textFill>
            <w14:solidFill>
              <w14:schemeClr w14:val="tx1"/>
            </w14:solidFill>
          </w14:textFill>
        </w:rPr>
        <w:t>招标人招投标交易平台信息系统</w:t>
      </w:r>
      <w:r>
        <w:rPr>
          <w:rFonts w:hint="eastAsia" w:ascii="宋体" w:hAnsi="宋体" w:eastAsia="宋体" w:cs="宋体"/>
          <w:color w:val="000000" w:themeColor="text1"/>
          <w:highlight w:val="none"/>
          <w14:textFill>
            <w14:solidFill>
              <w14:schemeClr w14:val="tx1"/>
            </w14:solidFill>
          </w14:textFill>
        </w:rPr>
        <w:t>，投标人仅可通过</w:t>
      </w:r>
      <w:r>
        <w:rPr>
          <w:rFonts w:hint="eastAsia" w:ascii="宋体" w:hAnsi="宋体" w:cs="宋体"/>
          <w:color w:val="000000" w:themeColor="text1"/>
          <w:highlight w:val="none"/>
          <w:lang w:eastAsia="zh-CN"/>
          <w14:textFill>
            <w14:solidFill>
              <w14:schemeClr w14:val="tx1"/>
            </w14:solidFill>
          </w14:textFill>
        </w:rPr>
        <w:t>招标人招投标交易平台信息系统</w:t>
      </w:r>
      <w:r>
        <w:rPr>
          <w:rFonts w:hint="eastAsia" w:ascii="宋体" w:hAnsi="宋体" w:eastAsia="宋体" w:cs="宋体"/>
          <w:color w:val="000000" w:themeColor="text1"/>
          <w:highlight w:val="none"/>
          <w14:textFill>
            <w14:solidFill>
              <w14:schemeClr w14:val="tx1"/>
            </w14:solidFill>
          </w14:textFill>
        </w:rPr>
        <w:t>提交全部投标文件；对于受</w:t>
      </w:r>
      <w:r>
        <w:rPr>
          <w:rFonts w:hint="eastAsia" w:ascii="宋体" w:hAnsi="宋体" w:cs="宋体"/>
          <w:color w:val="000000" w:themeColor="text1"/>
          <w:highlight w:val="none"/>
          <w:lang w:eastAsia="zh-CN"/>
          <w14:textFill>
            <w14:solidFill>
              <w14:schemeClr w14:val="tx1"/>
            </w14:solidFill>
          </w14:textFill>
        </w:rPr>
        <w:t>招标人招投标交易平台信息系统</w:t>
      </w:r>
      <w:r>
        <w:rPr>
          <w:rFonts w:hint="eastAsia" w:ascii="宋体" w:hAnsi="宋体" w:eastAsia="宋体" w:cs="宋体"/>
          <w:color w:val="000000" w:themeColor="text1"/>
          <w:highlight w:val="none"/>
          <w14:textFill>
            <w14:solidFill>
              <w14:schemeClr w14:val="tx1"/>
            </w14:solidFill>
          </w14:textFill>
        </w:rPr>
        <w:t>容量限制，要求通过网盘递交的文件，投标人需应用投标工具U+商务技术大文件功能加密提交网盘文件，在投标截止时间前完成上传提交。</w:t>
      </w:r>
    </w:p>
    <w:p>
      <w:pPr>
        <w:adjustRightInd w:val="0"/>
        <w:snapToGrid w:val="0"/>
        <w:spacing w:line="400" w:lineRule="exact"/>
        <w:ind w:firstLine="420" w:firstLineChars="200"/>
        <w:rPr>
          <w:rFonts w:hint="eastAsia" w:ascii="宋体" w:hAnsi="宋体" w:eastAsia="宋体" w:cs="宋体"/>
          <w:color w:val="000000" w:themeColor="text1"/>
          <w:szCs w:val="21"/>
          <w:highlight w:val="none"/>
          <w:lang w:val="zh-CN"/>
          <w14:textFill>
            <w14:solidFill>
              <w14:schemeClr w14:val="tx1"/>
            </w14:solidFill>
          </w14:textFill>
        </w:rPr>
      </w:pPr>
      <w:r>
        <w:rPr>
          <w:rFonts w:hint="eastAsia" w:ascii="宋体" w:hAnsi="宋体" w:eastAsia="宋体" w:cs="宋体"/>
          <w:color w:val="000000" w:themeColor="text1"/>
          <w:szCs w:val="21"/>
          <w:highlight w:val="none"/>
          <w:lang w:val="zh-CN"/>
          <w14:textFill>
            <w14:solidFill>
              <w14:schemeClr w14:val="tx1"/>
            </w14:solidFill>
          </w14:textFill>
        </w:rPr>
        <w:t>5.2 投标截止时间之前未成功提交至招标人招投标交易平台信息系统的电子投标文件，招标人不予受理。不接受未按规定加密的投标文件及投标文件的修改文件。</w:t>
      </w:r>
      <w:r>
        <w:rPr>
          <w:rFonts w:hint="eastAsia" w:ascii="宋体" w:hAnsi="宋体" w:eastAsia="宋体" w:cs="宋体"/>
          <w:color w:val="000000"/>
          <w:szCs w:val="21"/>
          <w:highlight w:val="none"/>
          <w:lang w:val="zh-CN"/>
        </w:rPr>
        <w:t>不接受邮寄、现场提交等电子提交方式以外的其他方式提交投标文件及投标文件的修改文件。</w:t>
      </w:r>
      <w:r>
        <w:rPr>
          <w:rFonts w:hint="eastAsia" w:ascii="宋体" w:hAnsi="宋体" w:eastAsia="宋体" w:cs="宋体"/>
          <w:b/>
          <w:bCs/>
          <w:color w:val="000000"/>
          <w:szCs w:val="21"/>
          <w:highlight w:val="none"/>
          <w:lang w:val="zh-CN"/>
        </w:rPr>
        <w:t>请投标人注意：本批次电子投标文件除提交招标人招投标交易平台信息系统外，请同时通过“国网辽宁电力数字化采购辅助工具”上传至云盘（辅助工具下载地址：</w:t>
      </w:r>
      <w:r>
        <w:rPr>
          <w:rFonts w:hint="eastAsia" w:ascii="宋体" w:hAnsi="宋体" w:eastAsia="宋体" w:cs="宋体"/>
          <w:b/>
          <w:bCs/>
          <w:color w:val="000000"/>
          <w:szCs w:val="21"/>
          <w:highlight w:val="none"/>
          <w:lang w:val="zh-CN"/>
        </w:rPr>
        <w:fldChar w:fldCharType="begin"/>
      </w:r>
      <w:r>
        <w:rPr>
          <w:rFonts w:hint="eastAsia" w:ascii="宋体" w:hAnsi="宋体" w:eastAsia="宋体" w:cs="宋体"/>
          <w:b/>
          <w:bCs/>
          <w:color w:val="000000"/>
          <w:szCs w:val="21"/>
          <w:highlight w:val="none"/>
          <w:lang w:val="zh-CN"/>
        </w:rPr>
        <w:instrText xml:space="preserve"> HYPERLINK "http://47.100.70.249/ln-web/）。投标截止时间之前未成功通过" </w:instrText>
      </w:r>
      <w:r>
        <w:rPr>
          <w:rFonts w:hint="eastAsia" w:ascii="宋体" w:hAnsi="宋体" w:eastAsia="宋体" w:cs="宋体"/>
          <w:b/>
          <w:bCs/>
          <w:color w:val="000000"/>
          <w:szCs w:val="21"/>
          <w:highlight w:val="none"/>
          <w:lang w:val="zh-CN"/>
        </w:rPr>
        <w:fldChar w:fldCharType="separate"/>
      </w:r>
      <w:r>
        <w:rPr>
          <w:rFonts w:hint="eastAsia" w:ascii="宋体" w:hAnsi="宋体" w:eastAsia="宋体" w:cs="宋体"/>
          <w:b/>
          <w:bCs/>
          <w:color w:val="000000"/>
          <w:szCs w:val="21"/>
          <w:highlight w:val="none"/>
          <w:lang w:val="zh-CN"/>
        </w:rPr>
        <w:t>http://47.100.70.249/ln-web/）。</w:t>
      </w:r>
      <w:r>
        <w:rPr>
          <w:rFonts w:hint="eastAsia" w:ascii="宋体" w:hAnsi="宋体" w:eastAsia="宋体" w:cs="宋体"/>
          <w:b/>
          <w:bCs/>
          <w:color w:val="000000"/>
          <w:szCs w:val="21"/>
          <w:highlight w:val="none"/>
          <w:lang w:val="zh-CN"/>
        </w:rPr>
        <w:fldChar w:fldCharType="end"/>
      </w:r>
    </w:p>
    <w:p>
      <w:pPr>
        <w:tabs>
          <w:tab w:val="left" w:pos="1200"/>
          <w:tab w:val="left" w:pos="3112"/>
          <w:tab w:val="left" w:pos="4600"/>
        </w:tabs>
        <w:spacing w:line="400" w:lineRule="exact"/>
        <w:ind w:firstLine="420" w:firstLineChars="200"/>
        <w:rPr>
          <w:color w:val="000000" w:themeColor="text1"/>
          <w:highlight w:val="none"/>
          <w14:textFill>
            <w14:solidFill>
              <w14:schemeClr w14:val="tx1"/>
            </w14:solidFill>
          </w14:textFill>
        </w:rPr>
      </w:pPr>
      <w:bookmarkStart w:id="53" w:name="_MON_1697628392"/>
      <w:bookmarkEnd w:id="53"/>
      <w:r>
        <w:rPr>
          <w:rFonts w:hint="eastAsia" w:ascii="宋体" w:hAnsi="宋体" w:eastAsia="宋体" w:cs="宋体"/>
          <w:color w:val="000000" w:themeColor="text1"/>
          <w:szCs w:val="21"/>
          <w:highlight w:val="none"/>
          <w:lang w:val="zh-CN"/>
          <w14:textFill>
            <w14:solidFill>
              <w14:schemeClr w14:val="tx1"/>
            </w14:solidFill>
          </w14:textFill>
        </w:rPr>
        <w:t>5.3未按招标公告</w:t>
      </w:r>
      <w:r>
        <w:rPr>
          <w:rFonts w:hint="eastAsia" w:ascii="宋体" w:hAnsi="宋体" w:eastAsia="宋体" w:cs="宋体"/>
          <w:color w:val="000000" w:themeColor="text1"/>
          <w:szCs w:val="21"/>
          <w:highlight w:val="none"/>
          <w14:textFill>
            <w14:solidFill>
              <w14:schemeClr w14:val="tx1"/>
            </w14:solidFill>
          </w14:textFill>
        </w:rPr>
        <w:t>规定的时间和方式获取并下载招标文件的投标</w:t>
      </w:r>
      <w:r>
        <w:rPr>
          <w:rFonts w:hint="eastAsia" w:ascii="宋体" w:hAnsi="宋体" w:eastAsia="宋体" w:cs="宋体"/>
          <w:color w:val="000000" w:themeColor="text1"/>
          <w:szCs w:val="21"/>
          <w:highlight w:val="none"/>
          <w:lang w:val="zh-CN"/>
          <w14:textFill>
            <w14:solidFill>
              <w14:schemeClr w14:val="tx1"/>
            </w14:solidFill>
          </w14:textFill>
        </w:rPr>
        <w:t>，招标人将不予受理</w:t>
      </w:r>
      <w:r>
        <w:rPr>
          <w:rFonts w:hint="eastAsia" w:ascii="宋体" w:hAnsi="宋体"/>
          <w:color w:val="000000" w:themeColor="text1"/>
          <w:szCs w:val="21"/>
          <w:highlight w:val="none"/>
          <w:lang w:val="zh-CN"/>
          <w14:textFill>
            <w14:solidFill>
              <w14:schemeClr w14:val="tx1"/>
            </w14:solidFill>
          </w14:textFill>
        </w:rPr>
        <w:t>。</w:t>
      </w:r>
    </w:p>
    <w:p>
      <w:pPr>
        <w:adjustRightInd w:val="0"/>
        <w:snapToGrid w:val="0"/>
        <w:spacing w:before="240" w:beforeLines="100" w:after="120" w:afterLines="50" w:line="400" w:lineRule="exact"/>
        <w:outlineLvl w:val="1"/>
        <w:rPr>
          <w:rFonts w:ascii="黑体" w:eastAsia="黑体"/>
          <w:b/>
          <w:color w:val="000000" w:themeColor="text1"/>
          <w:sz w:val="24"/>
          <w:highlight w:val="none"/>
          <w14:textFill>
            <w14:solidFill>
              <w14:schemeClr w14:val="tx1"/>
            </w14:solidFill>
          </w14:textFill>
        </w:rPr>
      </w:pPr>
      <w:bookmarkStart w:id="54" w:name="_Toc6640"/>
      <w:bookmarkStart w:id="55" w:name="_Toc13110"/>
      <w:bookmarkStart w:id="56" w:name="_Toc62551534"/>
      <w:bookmarkStart w:id="57" w:name="_Toc8013"/>
      <w:r>
        <w:rPr>
          <w:rFonts w:hint="eastAsia" w:ascii="黑体" w:eastAsia="黑体"/>
          <w:b/>
          <w:color w:val="000000" w:themeColor="text1"/>
          <w:sz w:val="24"/>
          <w:highlight w:val="none"/>
          <w14:textFill>
            <w14:solidFill>
              <w14:schemeClr w14:val="tx1"/>
            </w14:solidFill>
          </w14:textFill>
        </w:rPr>
        <w:t>6.</w:t>
      </w:r>
      <w:r>
        <w:rPr>
          <w:rFonts w:ascii="黑体" w:eastAsia="黑体"/>
          <w:b/>
          <w:color w:val="000000" w:themeColor="text1"/>
          <w:sz w:val="24"/>
          <w:highlight w:val="none"/>
          <w14:textFill>
            <w14:solidFill>
              <w14:schemeClr w14:val="tx1"/>
            </w14:solidFill>
          </w14:textFill>
        </w:rPr>
        <w:t>发布公告的媒介</w:t>
      </w:r>
      <w:bookmarkEnd w:id="54"/>
      <w:bookmarkEnd w:id="55"/>
      <w:bookmarkEnd w:id="56"/>
      <w:bookmarkEnd w:id="57"/>
    </w:p>
    <w:p>
      <w:pPr>
        <w:pStyle w:val="20"/>
        <w:tabs>
          <w:tab w:val="left" w:pos="0"/>
        </w:tabs>
        <w:spacing w:line="400" w:lineRule="exact"/>
        <w:ind w:firstLine="420" w:firstLineChars="200"/>
        <w:jc w:val="both"/>
        <w:rPr>
          <w:color w:val="000000" w:themeColor="text1"/>
          <w:kern w:val="2"/>
          <w:sz w:val="21"/>
          <w:highlight w:val="none"/>
          <w:lang w:val="en-US"/>
          <w14:textFill>
            <w14:solidFill>
              <w14:schemeClr w14:val="tx1"/>
            </w14:solidFill>
          </w14:textFill>
        </w:rPr>
      </w:pPr>
      <w:bookmarkStart w:id="58" w:name="_bookmark8"/>
      <w:bookmarkEnd w:id="58"/>
      <w:bookmarkStart w:id="59" w:name="_Toc27414"/>
      <w:bookmarkStart w:id="60" w:name="_Toc23797"/>
      <w:bookmarkStart w:id="61" w:name="_Toc9290"/>
      <w:bookmarkStart w:id="62" w:name="_Toc62551535"/>
      <w:r>
        <w:rPr>
          <w:rFonts w:hint="eastAsia"/>
          <w:color w:val="000000" w:themeColor="text1"/>
          <w:kern w:val="2"/>
          <w:sz w:val="21"/>
          <w:highlight w:val="none"/>
          <w14:textFill>
            <w14:solidFill>
              <w14:schemeClr w14:val="tx1"/>
            </w14:solidFill>
          </w14:textFill>
        </w:rPr>
        <w:t>本次招标公告在招标人招投标交易平台信息系统、中国招标投标公共服务平台</w:t>
      </w:r>
      <w:r>
        <w:rPr>
          <w:rFonts w:hint="eastAsia"/>
          <w:color w:val="000000" w:themeColor="text1"/>
          <w:kern w:val="2"/>
          <w:sz w:val="21"/>
          <w:highlight w:val="none"/>
          <w:lang w:val="en-US"/>
          <w14:textFill>
            <w14:solidFill>
              <w14:schemeClr w14:val="tx1"/>
            </w14:solidFill>
          </w14:textFill>
        </w:rPr>
        <w:t>（</w:t>
      </w:r>
      <w:bookmarkStart w:id="63" w:name="_Hlk511312026"/>
      <w:r>
        <w:rPr>
          <w:color w:val="000000" w:themeColor="text1"/>
          <w:kern w:val="2"/>
          <w:sz w:val="21"/>
          <w:highlight w:val="none"/>
          <w:lang w:val="en-US"/>
          <w14:textFill>
            <w14:solidFill>
              <w14:schemeClr w14:val="tx1"/>
            </w14:solidFill>
          </w14:textFill>
        </w:rPr>
        <w:t>http://www.cebpubservice.com</w:t>
      </w:r>
      <w:bookmarkEnd w:id="63"/>
      <w:r>
        <w:rPr>
          <w:rFonts w:hint="eastAsia"/>
          <w:color w:val="000000" w:themeColor="text1"/>
          <w:kern w:val="2"/>
          <w:sz w:val="21"/>
          <w:highlight w:val="none"/>
          <w:lang w:val="en-US"/>
          <w14:textFill>
            <w14:solidFill>
              <w14:schemeClr w14:val="tx1"/>
            </w14:solidFill>
          </w14:textFill>
        </w:rPr>
        <w:t>）</w:t>
      </w:r>
      <w:r>
        <w:rPr>
          <w:rFonts w:hint="eastAsia"/>
          <w:color w:val="000000" w:themeColor="text1"/>
          <w:kern w:val="2"/>
          <w:sz w:val="21"/>
          <w:highlight w:val="none"/>
          <w14:textFill>
            <w14:solidFill>
              <w14:schemeClr w14:val="tx1"/>
            </w14:solidFill>
          </w14:textFill>
        </w:rPr>
        <w:t>上发布。</w:t>
      </w:r>
    </w:p>
    <w:p>
      <w:pPr>
        <w:adjustRightInd w:val="0"/>
        <w:snapToGrid w:val="0"/>
        <w:spacing w:before="240" w:beforeLines="100" w:after="120" w:afterLines="50" w:line="400" w:lineRule="exact"/>
        <w:outlineLvl w:val="1"/>
        <w:rPr>
          <w:rFonts w:ascii="黑体" w:eastAsia="黑体"/>
          <w:b/>
          <w:color w:val="000000" w:themeColor="text1"/>
          <w:sz w:val="24"/>
          <w:highlight w:val="none"/>
          <w14:textFill>
            <w14:solidFill>
              <w14:schemeClr w14:val="tx1"/>
            </w14:solidFill>
          </w14:textFill>
        </w:rPr>
      </w:pPr>
      <w:r>
        <w:rPr>
          <w:rFonts w:hint="eastAsia" w:ascii="黑体" w:eastAsia="黑体"/>
          <w:b/>
          <w:color w:val="000000" w:themeColor="text1"/>
          <w:sz w:val="24"/>
          <w:highlight w:val="none"/>
          <w14:textFill>
            <w14:solidFill>
              <w14:schemeClr w14:val="tx1"/>
            </w14:solidFill>
          </w14:textFill>
        </w:rPr>
        <w:t>7.</w:t>
      </w:r>
      <w:r>
        <w:rPr>
          <w:rFonts w:ascii="黑体" w:eastAsia="黑体"/>
          <w:b/>
          <w:color w:val="000000" w:themeColor="text1"/>
          <w:sz w:val="24"/>
          <w:highlight w:val="none"/>
          <w14:textFill>
            <w14:solidFill>
              <w14:schemeClr w14:val="tx1"/>
            </w14:solidFill>
          </w14:textFill>
        </w:rPr>
        <w:t>联系方式</w:t>
      </w:r>
      <w:bookmarkEnd w:id="59"/>
      <w:bookmarkEnd w:id="60"/>
      <w:bookmarkEnd w:id="61"/>
      <w:bookmarkEnd w:id="62"/>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color w:val="000000" w:themeColor="text1"/>
          <w:kern w:val="2"/>
          <w:sz w:val="21"/>
          <w:highlight w:val="none"/>
          <w14:textFill>
            <w14:solidFill>
              <w14:schemeClr w14:val="tx1"/>
            </w14:solidFill>
          </w14:textFill>
        </w:rPr>
        <w:t>招标人</w:t>
      </w:r>
      <w:r>
        <w:rPr>
          <w:color w:val="000000" w:themeColor="text1"/>
          <w:kern w:val="2"/>
          <w:sz w:val="21"/>
          <w:highlight w:val="none"/>
          <w14:textFill>
            <w14:solidFill>
              <w14:schemeClr w14:val="tx1"/>
            </w14:solidFill>
          </w14:textFill>
        </w:rPr>
        <w:t xml:space="preserve">: </w:t>
      </w:r>
      <w:r>
        <w:rPr>
          <w:rFonts w:hint="eastAsia"/>
          <w:sz w:val="21"/>
          <w:szCs w:val="21"/>
          <w:highlight w:val="none"/>
        </w:rPr>
        <w:t>国家电网公司东北分部</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color w:val="000000" w:themeColor="text1"/>
          <w:kern w:val="2"/>
          <w:sz w:val="21"/>
          <w:highlight w:val="none"/>
          <w14:textFill>
            <w14:solidFill>
              <w14:schemeClr w14:val="tx1"/>
            </w14:solidFill>
          </w14:textFill>
        </w:rPr>
        <w:t>地址</w:t>
      </w:r>
      <w:r>
        <w:rPr>
          <w:color w:val="000000" w:themeColor="text1"/>
          <w:kern w:val="2"/>
          <w:sz w:val="21"/>
          <w:highlight w:val="none"/>
          <w14:textFill>
            <w14:solidFill>
              <w14:schemeClr w14:val="tx1"/>
            </w14:solidFill>
          </w14:textFill>
        </w:rPr>
        <w:t xml:space="preserve">: </w:t>
      </w:r>
      <w:r>
        <w:rPr>
          <w:rFonts w:hint="eastAsia" w:ascii="宋体" w:hAnsi="宋体" w:eastAsia="宋体" w:cs="宋体"/>
          <w:sz w:val="21"/>
          <w:szCs w:val="21"/>
          <w:highlight w:val="none"/>
          <w:u w:val="none"/>
        </w:rPr>
        <w:t>沈阳市浑南新区营盘北街1号</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color w:val="000000" w:themeColor="text1"/>
          <w:kern w:val="2"/>
          <w:sz w:val="21"/>
          <w:highlight w:val="none"/>
          <w14:textFill>
            <w14:solidFill>
              <w14:schemeClr w14:val="tx1"/>
            </w14:solidFill>
          </w14:textFill>
        </w:rPr>
        <w:t>邮编：</w:t>
      </w:r>
      <w:r>
        <w:rPr>
          <w:rFonts w:hint="eastAsia" w:ascii="宋体" w:hAnsi="宋体" w:eastAsia="宋体" w:cs="宋体"/>
          <w:color w:val="000000" w:themeColor="text1"/>
          <w:sz w:val="21"/>
          <w:szCs w:val="21"/>
          <w:highlight w:val="none"/>
          <w:lang w:val="en-US" w:eastAsia="zh-CN"/>
          <w14:textFill>
            <w14:solidFill>
              <w14:schemeClr w14:val="tx1"/>
            </w14:solidFill>
          </w14:textFill>
        </w:rPr>
        <w:t>110179</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color w:val="000000" w:themeColor="text1"/>
          <w:kern w:val="2"/>
          <w:sz w:val="21"/>
          <w:highlight w:val="none"/>
          <w14:textFill>
            <w14:solidFill>
              <w14:schemeClr w14:val="tx1"/>
            </w14:solidFill>
          </w14:textFill>
        </w:rPr>
        <w:t>招标代理机构：</w:t>
      </w:r>
      <w:r>
        <w:rPr>
          <w:rFonts w:hint="eastAsia" w:ascii="宋体" w:hAnsi="宋体" w:eastAsia="宋体" w:cs="宋体"/>
          <w:sz w:val="21"/>
          <w:szCs w:val="21"/>
          <w:highlight w:val="none"/>
        </w:rPr>
        <w:t>国网辽宁招标有限公司</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color w:val="000000" w:themeColor="text1"/>
          <w:kern w:val="2"/>
          <w:sz w:val="21"/>
          <w:highlight w:val="none"/>
          <w14:textFill>
            <w14:solidFill>
              <w14:schemeClr w14:val="tx1"/>
            </w14:solidFill>
          </w14:textFill>
        </w:rPr>
        <w:t>地址：</w:t>
      </w:r>
      <w:r>
        <w:rPr>
          <w:rFonts w:hint="eastAsia" w:ascii="宋体" w:hAnsi="宋体" w:eastAsia="宋体" w:cs="宋体"/>
          <w:sz w:val="21"/>
          <w:szCs w:val="21"/>
          <w:highlight w:val="none"/>
        </w:rPr>
        <w:t>沈阳市和平区文化路63号</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color w:val="000000" w:themeColor="text1"/>
          <w:kern w:val="2"/>
          <w:sz w:val="21"/>
          <w:highlight w:val="none"/>
          <w14:textFill>
            <w14:solidFill>
              <w14:schemeClr w14:val="tx1"/>
            </w14:solidFill>
          </w14:textFill>
        </w:rPr>
        <w:t>邮编：</w:t>
      </w:r>
      <w:r>
        <w:rPr>
          <w:rFonts w:hint="eastAsia" w:ascii="宋体" w:hAnsi="宋体" w:eastAsia="宋体" w:cs="宋体"/>
          <w:sz w:val="21"/>
          <w:szCs w:val="21"/>
          <w:highlight w:val="none"/>
        </w:rPr>
        <w:t>110004</w:t>
      </w:r>
    </w:p>
    <w:p>
      <w:pPr>
        <w:tabs>
          <w:tab w:val="left" w:pos="1134"/>
        </w:tabs>
        <w:adjustRightInd w:val="0"/>
        <w:snapToGrid w:val="0"/>
        <w:spacing w:line="400" w:lineRule="exact"/>
        <w:ind w:firstLine="420" w:firstLineChars="200"/>
        <w:rPr>
          <w:rFonts w:hint="eastAsia" w:eastAsia="宋体"/>
          <w:color w:val="FF0000"/>
          <w:highlight w:val="none"/>
          <w:lang w:eastAsia="zh-CN"/>
        </w:rPr>
      </w:pPr>
      <w:r>
        <w:rPr>
          <w:rFonts w:hint="eastAsia" w:ascii="宋体" w:hAnsi="宋体"/>
          <w:color w:val="000000" w:themeColor="text1"/>
          <w:szCs w:val="21"/>
          <w:highlight w:val="none"/>
          <w:lang w:val="zh-CN"/>
          <w14:textFill>
            <w14:solidFill>
              <w14:schemeClr w14:val="tx1"/>
            </w14:solidFill>
          </w14:textFill>
        </w:rPr>
        <w:t>联系人电话：</w:t>
      </w:r>
      <w:r>
        <w:rPr>
          <w:rFonts w:hint="eastAsia" w:ascii="宋体" w:hAnsi="宋体"/>
          <w:color w:val="000000"/>
          <w:kern w:val="0"/>
          <w:szCs w:val="21"/>
          <w:highlight w:val="none"/>
          <w:lang w:eastAsia="zh-CN"/>
        </w:rPr>
        <w:t>招标业务（招标文件内容等相关事宜咨询）联系电话：024-23126960，024-23138240；</w:t>
      </w:r>
    </w:p>
    <w:p>
      <w:pPr>
        <w:tabs>
          <w:tab w:val="left" w:pos="1134"/>
        </w:tabs>
        <w:adjustRightInd w:val="0"/>
        <w:snapToGrid w:val="0"/>
        <w:spacing w:line="400" w:lineRule="exact"/>
        <w:ind w:firstLine="420" w:firstLineChars="200"/>
        <w:rPr>
          <w:rFonts w:hint="eastAsia" w:ascii="宋体" w:hAnsi="宋体"/>
          <w:color w:val="000000"/>
          <w:kern w:val="0"/>
          <w:szCs w:val="21"/>
          <w:highlight w:val="none"/>
          <w:lang w:eastAsia="zh-CN"/>
        </w:rPr>
      </w:pPr>
      <w:r>
        <w:rPr>
          <w:rFonts w:hint="eastAsia" w:ascii="宋体" w:hAnsi="宋体"/>
          <w:color w:val="000000" w:themeColor="text1"/>
          <w:szCs w:val="21"/>
          <w:highlight w:val="none"/>
          <w:lang w:val="zh-CN"/>
          <w14:textFill>
            <w14:solidFill>
              <w14:schemeClr w14:val="tx1"/>
            </w14:solidFill>
          </w14:textFill>
        </w:rPr>
        <w:t>电子邮件：</w:t>
      </w:r>
      <w:bookmarkStart w:id="64" w:name="_Toc26113"/>
      <w:bookmarkStart w:id="65" w:name="_Toc4180"/>
      <w:bookmarkStart w:id="66" w:name="_Toc26636"/>
      <w:bookmarkStart w:id="67" w:name="_Toc62551536"/>
      <w:r>
        <w:rPr>
          <w:rFonts w:hint="eastAsia" w:ascii="宋体" w:hAnsi="宋体"/>
          <w:color w:val="000000"/>
          <w:kern w:val="0"/>
          <w:szCs w:val="21"/>
          <w:highlight w:val="none"/>
          <w:lang w:eastAsia="zh-CN"/>
        </w:rPr>
        <w:t>dbfbcg@lnzbgs.com；</w:t>
      </w:r>
    </w:p>
    <w:p>
      <w:pPr>
        <w:pStyle w:val="2"/>
        <w:rPr>
          <w:rFonts w:hint="eastAsia" w:ascii="宋体" w:hAnsi="宋体"/>
          <w:color w:val="000000"/>
          <w:kern w:val="0"/>
          <w:szCs w:val="21"/>
          <w:highlight w:val="none"/>
          <w:lang w:eastAsia="zh-CN"/>
        </w:rPr>
      </w:pPr>
      <w:r>
        <w:rPr>
          <w:rFonts w:hint="eastAsia" w:ascii="宋体" w:hAnsi="宋体"/>
          <w:color w:val="000000"/>
          <w:kern w:val="0"/>
          <w:szCs w:val="21"/>
          <w:highlight w:val="none"/>
          <w:lang w:eastAsia="zh-CN"/>
        </w:rPr>
        <w:t>电子钥匙业务咨询：400-991-5500；</w:t>
      </w:r>
    </w:p>
    <w:p>
      <w:pPr>
        <w:rPr>
          <w:rFonts w:hint="eastAsia" w:ascii="宋体" w:hAnsi="宋体"/>
          <w:color w:val="000000"/>
          <w:kern w:val="0"/>
          <w:szCs w:val="21"/>
          <w:highlight w:val="none"/>
          <w:lang w:eastAsia="zh-CN"/>
        </w:rPr>
      </w:pPr>
      <w:r>
        <w:rPr>
          <w:rFonts w:hint="eastAsia" w:ascii="宋体" w:hAnsi="宋体"/>
          <w:color w:val="000000"/>
          <w:kern w:val="0"/>
          <w:szCs w:val="21"/>
          <w:highlight w:val="none"/>
          <w:lang w:eastAsia="zh-CN"/>
        </w:rPr>
        <w:t>供应商注册相关业务咨询：400-818-0899转5-1；</w:t>
      </w:r>
    </w:p>
    <w:p>
      <w:pPr>
        <w:pStyle w:val="2"/>
        <w:rPr>
          <w:rFonts w:hint="eastAsia" w:ascii="宋体" w:hAnsi="宋体"/>
          <w:color w:val="000000"/>
          <w:kern w:val="0"/>
          <w:szCs w:val="21"/>
          <w:highlight w:val="none"/>
          <w:lang w:eastAsia="zh-CN"/>
        </w:rPr>
      </w:pPr>
      <w:r>
        <w:rPr>
          <w:rFonts w:hint="eastAsia" w:ascii="宋体" w:hAnsi="宋体"/>
          <w:color w:val="000000"/>
          <w:kern w:val="0"/>
          <w:szCs w:val="21"/>
          <w:highlight w:val="none"/>
          <w:lang w:eastAsia="zh-CN"/>
        </w:rPr>
        <w:t>电子商务平台（ECP相关操作问题咨询）：010-63411000；</w:t>
      </w:r>
    </w:p>
    <w:p>
      <w:pPr>
        <w:rPr>
          <w:rFonts w:hint="eastAsia"/>
          <w:lang w:eastAsia="zh-CN"/>
        </w:rPr>
      </w:pPr>
      <w:r>
        <w:rPr>
          <w:rFonts w:hint="eastAsia" w:ascii="宋体" w:hAnsi="宋体"/>
          <w:color w:val="000000"/>
          <w:kern w:val="0"/>
          <w:szCs w:val="21"/>
          <w:highlight w:val="none"/>
          <w:lang w:eastAsia="zh-CN"/>
        </w:rPr>
        <w:t>电子签章相关业务咨询南京优泰科技，客服电话：4009915500，客服QQ：800093938。</w:t>
      </w:r>
    </w:p>
    <w:p>
      <w:pPr>
        <w:tabs>
          <w:tab w:val="left" w:pos="1134"/>
        </w:tabs>
        <w:adjustRightInd w:val="0"/>
        <w:snapToGrid w:val="0"/>
        <w:spacing w:line="400" w:lineRule="exact"/>
        <w:rPr>
          <w:rFonts w:ascii="黑体" w:eastAsia="黑体"/>
          <w:b/>
          <w:color w:val="000000" w:themeColor="text1"/>
          <w:sz w:val="24"/>
          <w:highlight w:val="none"/>
          <w14:textFill>
            <w14:solidFill>
              <w14:schemeClr w14:val="tx1"/>
            </w14:solidFill>
          </w14:textFill>
        </w:rPr>
      </w:pPr>
      <w:r>
        <w:rPr>
          <w:rFonts w:hint="eastAsia" w:ascii="黑体" w:eastAsia="黑体"/>
          <w:b/>
          <w:color w:val="000000" w:themeColor="text1"/>
          <w:sz w:val="24"/>
          <w:highlight w:val="none"/>
          <w14:textFill>
            <w14:solidFill>
              <w14:schemeClr w14:val="tx1"/>
            </w14:solidFill>
          </w14:textFill>
        </w:rPr>
        <w:t>8.合规声明</w:t>
      </w:r>
      <w:bookmarkEnd w:id="64"/>
      <w:bookmarkEnd w:id="65"/>
      <w:bookmarkEnd w:id="66"/>
      <w:bookmarkEnd w:id="67"/>
    </w:p>
    <w:p>
      <w:pPr>
        <w:pStyle w:val="20"/>
        <w:tabs>
          <w:tab w:val="left" w:pos="0"/>
        </w:tabs>
        <w:spacing w:line="400" w:lineRule="exact"/>
        <w:ind w:firstLine="420" w:firstLineChars="200"/>
        <w:jc w:val="both"/>
        <w:rPr>
          <w:rFonts w:hint="eastAsia" w:eastAsia="宋体"/>
          <w:color w:val="000000" w:themeColor="text1"/>
          <w:kern w:val="2"/>
          <w:sz w:val="21"/>
          <w:highlight w:val="none"/>
          <w:lang w:eastAsia="zh-CN"/>
          <w14:textFill>
            <w14:solidFill>
              <w14:schemeClr w14:val="tx1"/>
            </w14:solidFill>
          </w14:textFill>
        </w:rPr>
      </w:pPr>
      <w:r>
        <w:rPr>
          <w:rFonts w:hint="eastAsia"/>
          <w:color w:val="000000" w:themeColor="text1"/>
          <w:kern w:val="2"/>
          <w:sz w:val="21"/>
          <w:highlight w:val="none"/>
          <w14:textFill>
            <w14:solidFill>
              <w14:schemeClr w14:val="tx1"/>
            </w14:solidFill>
          </w14:textFill>
        </w:rPr>
        <w:t>本招标文件（包括商务部分和技术部分）符合国家现行法律法规规定，若国家颁布新的法律法规或对现有法律法规进行修订，以新施行的法律法规规定为准</w:t>
      </w:r>
      <w:r>
        <w:rPr>
          <w:rFonts w:hint="eastAsia"/>
          <w:color w:val="000000" w:themeColor="text1"/>
          <w:kern w:val="2"/>
          <w:sz w:val="21"/>
          <w:highlight w:val="none"/>
          <w:lang w:eastAsia="zh-CN"/>
          <w14:textFill>
            <w14:solidFill>
              <w14:schemeClr w14:val="tx1"/>
            </w14:solidFill>
          </w14:textFill>
        </w:rPr>
        <w:t>，</w:t>
      </w:r>
      <w:r>
        <w:rPr>
          <w:rFonts w:hint="eastAsia"/>
          <w:color w:val="000000" w:themeColor="text1"/>
          <w:kern w:val="2"/>
          <w:sz w:val="21"/>
          <w:highlight w:val="none"/>
          <w:lang w:eastAsia="zh-CN"/>
          <w14:textFill>
            <w14:solidFill>
              <w14:schemeClr w14:val="tx1"/>
            </w14:solidFill>
          </w14:textFill>
        </w:rPr>
        <w:t>本项目行政监督部门为</w:t>
      </w:r>
      <w:r>
        <w:rPr>
          <w:rFonts w:hint="eastAsia"/>
          <w:color w:val="000000" w:themeColor="text1"/>
          <w:kern w:val="2"/>
          <w:sz w:val="21"/>
          <w:highlight w:val="none"/>
          <w:lang w:val="en-US" w:eastAsia="zh-CN"/>
          <w14:textFill>
            <w14:solidFill>
              <w14:schemeClr w14:val="tx1"/>
            </w14:solidFill>
          </w14:textFill>
        </w:rPr>
        <w:t>项目所在地</w:t>
      </w:r>
      <w:r>
        <w:rPr>
          <w:rFonts w:hint="eastAsia"/>
          <w:color w:val="000000" w:themeColor="text1"/>
          <w:kern w:val="2"/>
          <w:sz w:val="21"/>
          <w:highlight w:val="none"/>
          <w:lang w:eastAsia="zh-CN"/>
          <w14:textFill>
            <w14:solidFill>
              <w14:schemeClr w14:val="tx1"/>
            </w14:solidFill>
          </w14:textFill>
        </w:rPr>
        <w:t>的</w:t>
      </w:r>
      <w:r>
        <w:rPr>
          <w:rFonts w:hint="eastAsia"/>
          <w:color w:val="000000" w:themeColor="text1"/>
          <w:kern w:val="2"/>
          <w:sz w:val="21"/>
          <w:highlight w:val="none"/>
          <w:lang w:val="en-US" w:eastAsia="zh-CN"/>
          <w14:textFill>
            <w14:solidFill>
              <w14:schemeClr w14:val="tx1"/>
            </w14:solidFill>
          </w14:textFill>
        </w:rPr>
        <w:t>发展和改革部门</w:t>
      </w:r>
      <w:r>
        <w:rPr>
          <w:rFonts w:hint="eastAsia"/>
          <w:color w:val="000000" w:themeColor="text1"/>
          <w:kern w:val="2"/>
          <w:sz w:val="21"/>
          <w:highlight w:val="none"/>
          <w:lang w:eastAsia="zh-CN"/>
          <w14:textFill>
            <w14:solidFill>
              <w14:schemeClr w14:val="tx1"/>
            </w14:solidFill>
          </w14:textFill>
        </w:rPr>
        <w:t>。</w:t>
      </w:r>
    </w:p>
    <w:p>
      <w:pPr>
        <w:adjustRightInd w:val="0"/>
        <w:snapToGrid w:val="0"/>
        <w:spacing w:before="240" w:beforeLines="100" w:after="120" w:afterLines="50" w:line="400" w:lineRule="exact"/>
        <w:outlineLvl w:val="1"/>
        <w:rPr>
          <w:rFonts w:ascii="黑体" w:eastAsia="黑体"/>
          <w:b/>
          <w:color w:val="000000" w:themeColor="text1"/>
          <w:sz w:val="24"/>
          <w:highlight w:val="none"/>
          <w14:textFill>
            <w14:solidFill>
              <w14:schemeClr w14:val="tx1"/>
            </w14:solidFill>
          </w14:textFill>
        </w:rPr>
      </w:pPr>
      <w:r>
        <w:rPr>
          <w:rFonts w:hint="eastAsia" w:ascii="黑体" w:eastAsia="黑体"/>
          <w:b/>
          <w:color w:val="000000" w:themeColor="text1"/>
          <w:sz w:val="24"/>
          <w:highlight w:val="none"/>
          <w14:textFill>
            <w14:solidFill>
              <w14:schemeClr w14:val="tx1"/>
            </w14:solidFill>
          </w14:textFill>
        </w:rPr>
        <w:t>9.权利声明</w:t>
      </w:r>
    </w:p>
    <w:p>
      <w:pPr>
        <w:pStyle w:val="20"/>
        <w:tabs>
          <w:tab w:val="left" w:pos="0"/>
        </w:tabs>
        <w:spacing w:line="400" w:lineRule="exact"/>
        <w:ind w:firstLine="420" w:firstLineChars="200"/>
        <w:jc w:val="both"/>
        <w:rPr>
          <w:color w:val="000000" w:themeColor="text1"/>
          <w:kern w:val="2"/>
          <w:sz w:val="21"/>
          <w:highlight w:val="none"/>
          <w14:textFill>
            <w14:solidFill>
              <w14:schemeClr w14:val="tx1"/>
            </w14:solidFill>
          </w14:textFill>
        </w:rPr>
      </w:pPr>
      <w:r>
        <w:rPr>
          <w:rFonts w:hint="eastAsia"/>
          <w:color w:val="000000" w:themeColor="text1"/>
          <w:kern w:val="2"/>
          <w:sz w:val="21"/>
          <w:highlight w:val="none"/>
          <w14:textFill>
            <w14:solidFill>
              <w14:schemeClr w14:val="tx1"/>
            </w14:solidFill>
          </w14:textFill>
        </w:rPr>
        <w:t>禁止对本招标文件或公示信息（依法必须招标项目的招标公告部分除外）进行任何形式的转载（包括但不限于部分或全文转载、修改后转载）或任何未经书面授权的使用。转载依法必须招标项目的招标公告或公示信息的，不得改变招标公告和公示信息的内容，须注明信息来源，不得用于非法用途。任何单位或个人不得违法转载（包括但不限于改变内容转载、转载不注明来源、遗漏或不及时转载修改或补充内容等）招标公告或公示信息、不得对招标公告或公示信息等内容进行不全面、不准确、不客观地分析或使用，任何单位或个人违法或违反本条规定转载、使用本招标文件或公示信息的，招标人将依法追究法律责任。</w:t>
      </w:r>
    </w:p>
    <w:p>
      <w:pPr>
        <w:wordWrap w:val="0"/>
        <w:spacing w:line="400" w:lineRule="exact"/>
        <w:ind w:firstLine="560" w:firstLineChars="200"/>
        <w:jc w:val="right"/>
        <w:rPr>
          <w:rFonts w:cs="Arial"/>
          <w:color w:val="000000" w:themeColor="text1"/>
          <w:highlight w:val="none"/>
          <w14:textFill>
            <w14:solidFill>
              <w14:schemeClr w14:val="tx1"/>
            </w14:solidFill>
          </w14:textFill>
        </w:rPr>
        <w:sectPr>
          <w:footerReference r:id="rId13" w:type="default"/>
          <w:pgSz w:w="11906" w:h="16838"/>
          <w:pgMar w:top="1134" w:right="1800" w:bottom="1134" w:left="1800" w:header="851" w:footer="992" w:gutter="0"/>
          <w:cols w:space="720" w:num="1"/>
          <w:docGrid w:linePitch="312" w:charSpace="0"/>
        </w:sectPr>
      </w:pPr>
      <w:r>
        <w:rPr>
          <w:rFonts w:hint="eastAsia" w:ascii="宋体" w:hAnsi="宋体" w:eastAsia="黑体"/>
          <w:color w:val="000000"/>
          <w:kern w:val="0"/>
          <w:sz w:val="28"/>
          <w:szCs w:val="21"/>
          <w:highlight w:val="none"/>
          <w:lang w:val="zh-CN"/>
        </w:rPr>
        <w:t>2025年11月3日</w:t>
      </w:r>
      <w:r>
        <w:rPr>
          <w:rFonts w:hint="eastAsia" w:cs="Arial"/>
          <w:color w:val="000000" w:themeColor="text1"/>
          <w:highlight w:val="none"/>
          <w14:textFill>
            <w14:solidFill>
              <w14:schemeClr w14:val="tx1"/>
            </w14:solidFill>
          </w14:textFill>
        </w:rPr>
        <w:t xml:space="preserve"> </w:t>
      </w:r>
    </w:p>
    <w:p>
      <w:pPr>
        <w:pStyle w:val="20"/>
        <w:spacing w:line="400" w:lineRule="exact"/>
        <w:rPr>
          <w:rFonts w:ascii="黑体" w:hAnsi="黑体" w:eastAsia="黑体" w:cs="黑体"/>
          <w:b/>
          <w:bCs/>
          <w:color w:val="000000" w:themeColor="text1"/>
          <w:kern w:val="2"/>
          <w:sz w:val="24"/>
          <w:szCs w:val="24"/>
          <w:highlight w:val="none"/>
          <w:lang w:val="en-US"/>
          <w14:textFill>
            <w14:solidFill>
              <w14:schemeClr w14:val="tx1"/>
            </w14:solidFill>
          </w14:textFill>
        </w:rPr>
      </w:pPr>
      <w:r>
        <w:rPr>
          <w:rFonts w:hint="eastAsia" w:ascii="黑体" w:hAnsi="黑体" w:eastAsia="黑体" w:cs="黑体"/>
          <w:b/>
          <w:bCs/>
          <w:color w:val="000000" w:themeColor="text1"/>
          <w:kern w:val="2"/>
          <w:sz w:val="24"/>
          <w:szCs w:val="24"/>
          <w:highlight w:val="none"/>
          <w:lang w:val="en-US"/>
          <w14:textFill>
            <w14:solidFill>
              <w14:schemeClr w14:val="tx1"/>
            </w14:solidFill>
          </w14:textFill>
        </w:rPr>
        <w:t>招标公告附件</w:t>
      </w:r>
    </w:p>
    <w:p>
      <w:pPr>
        <w:spacing w:beforeLines="0" w:afterLines="0"/>
        <w:rPr>
          <w:rFonts w:hint="default" w:ascii="宋 体" w:hAnsi="宋 体" w:eastAsia="宋 体"/>
          <w:sz w:val="24"/>
          <w:szCs w:val="24"/>
        </w:rPr>
      </w:pPr>
      <w:r>
        <w:rPr>
          <w:rFonts w:hint="default" w:ascii="宋 体" w:hAnsi="宋 体" w:eastAsia="宋 体"/>
          <w:b/>
          <w:sz w:val="24"/>
          <w:szCs w:val="24"/>
        </w:rPr>
        <w:t>专用资格要求</w:t>
      </w:r>
    </w:p>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分标名称：电网工程施工调控施工项目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分标编号：392552-9001002-0502</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1.具有行政主管部门颁发的电子与智能化工程专业承包二级及以上资质或行政主管部门颁发的通信工程施工总承包三级及以上资质。</w:t>
            </w:r>
          </w:p>
          <w:p>
            <w:pPr>
              <w:spacing w:beforeLines="0" w:afterLines="0"/>
              <w:rPr>
                <w:rFonts w:hint="default" w:ascii="宋 体" w:hAnsi="宋 体" w:eastAsia="宋 体"/>
                <w:sz w:val="18"/>
                <w:szCs w:val="24"/>
              </w:rPr>
            </w:pPr>
            <w:r>
              <w:rPr>
                <w:rFonts w:hint="default" w:ascii="宋 体" w:hAnsi="宋 体" w:eastAsia="宋 体"/>
                <w:sz w:val="18"/>
                <w:szCs w:val="24"/>
              </w:rPr>
              <w:t>2.具有电力监管机构核发的《承装(修、试)电力设施许可证》，许可范围包含承装三级及以上资质。</w:t>
            </w:r>
          </w:p>
          <w:p>
            <w:pPr>
              <w:spacing w:beforeLines="0" w:afterLines="0"/>
              <w:rPr>
                <w:rFonts w:hint="default" w:ascii="宋 体" w:hAnsi="宋 体" w:eastAsia="宋 体"/>
                <w:sz w:val="18"/>
                <w:szCs w:val="24"/>
              </w:rPr>
            </w:pPr>
            <w:r>
              <w:rPr>
                <w:rFonts w:hint="default" w:ascii="宋 体" w:hAnsi="宋 体" w:eastAsia="宋 体"/>
                <w:sz w:val="18"/>
                <w:szCs w:val="24"/>
              </w:rPr>
              <w:t>3.具有行政主管部门颁发的安全生产许可证。</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2022年1月1日起至开标日，投标人具有同类业绩不少于1项,并提供合同封面、项目的名称页和签字盖章页复印件或扫描件，提供发票复印件、发票查验结果截图。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项目经理:(1)持有政府主管部门颁发的项目负责人安全生产考核合格证书；</w:t>
            </w:r>
          </w:p>
          <w:p>
            <w:pPr>
              <w:spacing w:beforeLines="0" w:afterLines="0"/>
              <w:rPr>
                <w:rFonts w:hint="default" w:ascii="宋 体" w:hAnsi="宋 体" w:eastAsia="宋 体"/>
                <w:sz w:val="18"/>
                <w:szCs w:val="24"/>
              </w:rPr>
            </w:pPr>
            <w:r>
              <w:rPr>
                <w:rFonts w:hint="default" w:ascii="宋 体" w:hAnsi="宋 体" w:eastAsia="宋 体"/>
                <w:sz w:val="18"/>
                <w:szCs w:val="24"/>
              </w:rPr>
              <w:t>(2)具备一级注册建造师资格(通信与广电工程)或二级及以上注册建造师资格(机电工程)。</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分标名称：房屋维修后勤中心施工项目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分标编号：392552-9013001-1102</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(1)企业具有有效的安全生产许可证；(2)具有建设行政主管部门核发的建筑工程施工总承包三级及以上资质。</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2020年1月1日起至开标日，投标人具有与房屋建筑施工业绩不少于1项，并提供合同封面、项目的名称页和签字盖章页复印件或扫描件，提供发票复印件、发票查验结果截图。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项目经理：(1)持有政府部门颁发的项目负责人安全生产考核合格证书；(2)具备二级及以上注册建造师资格(建筑工程)。</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分标名称：电网工程施工绿源生技处施工项目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分标编号：392552-9001002-1602</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(1)企业具有有效的安全生产许可证；(2)具有建设行政主管部门核发的电力工程施工总承包三级及以上资质(3)具有电力监管机构核发的《承装(修、试)电力设施许可证》，许可范围包含承装、承修、承试三级及以上资质。</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2020年1月1日起至开标日，投标人具有与招标项目同等电压等级及以上施工业绩不少于1项,并提供合同封面、项目的名称页和签字盖章页复印件或扫描件，提供发票复印件、发票查验结果截图。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项目经理:(1)持有政府主管部门颁发的项目负责人安全生产考核合格证书。(2)具备二级及以上注册建造师资格(机电工程)</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1.具有行政主管部门颁发的电子与智能化工程专业承包二级及以上资质或行政主管部门颁发的通信工程施工总承包三级及以上资质。</w:t>
            </w:r>
          </w:p>
          <w:p>
            <w:pPr>
              <w:spacing w:beforeLines="0" w:afterLines="0"/>
              <w:rPr>
                <w:rFonts w:hint="default" w:ascii="宋 体" w:hAnsi="宋 体" w:eastAsia="宋 体"/>
                <w:sz w:val="18"/>
                <w:szCs w:val="24"/>
              </w:rPr>
            </w:pPr>
            <w:r>
              <w:rPr>
                <w:rFonts w:hint="default" w:ascii="宋 体" w:hAnsi="宋 体" w:eastAsia="宋 体"/>
                <w:sz w:val="18"/>
                <w:szCs w:val="24"/>
              </w:rPr>
              <w:t>2.具有电力监管机构核发的《承装(修、试)电力设施许可证》，许可范围包含承装三级及以上资质。</w:t>
            </w:r>
          </w:p>
          <w:p>
            <w:pPr>
              <w:spacing w:beforeLines="0" w:afterLines="0"/>
              <w:rPr>
                <w:rFonts w:hint="default" w:ascii="宋 体" w:hAnsi="宋 体" w:eastAsia="宋 体"/>
                <w:sz w:val="18"/>
                <w:szCs w:val="24"/>
              </w:rPr>
            </w:pPr>
            <w:r>
              <w:rPr>
                <w:rFonts w:hint="default" w:ascii="宋 体" w:hAnsi="宋 体" w:eastAsia="宋 体"/>
                <w:sz w:val="18"/>
                <w:szCs w:val="24"/>
              </w:rPr>
              <w:t>3.具有行政主管部门颁发的安全生产许可证。</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2022年1月1日起至开标日，投标人具有同类业绩不少于1项,并提供合同封面、项目的名称页和签字盖章页复印件或扫描件，提供发票复印件、发票查验结果截图。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项目经理:(1)持有政府主管部门颁发的项目负责人安全生产考核合格证书；</w:t>
            </w:r>
          </w:p>
          <w:p>
            <w:pPr>
              <w:spacing w:beforeLines="0" w:afterLines="0"/>
              <w:rPr>
                <w:rFonts w:hint="default" w:ascii="宋 体" w:hAnsi="宋 体" w:eastAsia="宋 体"/>
                <w:sz w:val="18"/>
                <w:szCs w:val="24"/>
              </w:rPr>
            </w:pPr>
            <w:r>
              <w:rPr>
                <w:rFonts w:hint="default" w:ascii="宋 体" w:hAnsi="宋 体" w:eastAsia="宋 体"/>
                <w:sz w:val="18"/>
                <w:szCs w:val="24"/>
              </w:rPr>
              <w:t>(2)具备一级注册建造师资格(通信与广电工程)或二级及以上注册建造师资格(机电工程)。</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分标名称：水电工程施工绿源生技处施工项目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分标编号：392552-9004002-1602</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(1)具有住房城乡建设主管部门颁发的安全生产许可证。</w:t>
            </w:r>
          </w:p>
          <w:p>
            <w:pPr>
              <w:spacing w:beforeLines="0" w:afterLines="0"/>
              <w:rPr>
                <w:rFonts w:hint="default" w:ascii="宋 体" w:hAnsi="宋 体" w:eastAsia="宋 体"/>
                <w:sz w:val="18"/>
                <w:szCs w:val="24"/>
              </w:rPr>
            </w:pPr>
            <w:r>
              <w:rPr>
                <w:rFonts w:hint="default" w:ascii="宋 体" w:hAnsi="宋 体" w:eastAsia="宋 体"/>
                <w:sz w:val="18"/>
                <w:szCs w:val="24"/>
              </w:rPr>
              <w:t>(2)具有住房城乡建设主管部门颁发的水利水电工程施工总承包三级及以上，或水工金属结构制作与安装工程专业承包三级及以上资质。</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2020年1月1日起至开标日，投标人具有同类金属结构设备大修/改造业绩不少于1项，并提供合同封面、项目的名称页和签字盖章页复印件或扫描件，提供发票复印件、发票查验结果截图。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项目经理:(1)持有政府部门颁发的项目负责人安全生产考核合格证书；(2)具备二级及以上注册建造师资格(机电工程)。</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1、66kV变电工程施工</w:t>
            </w:r>
          </w:p>
          <w:p>
            <w:pPr>
              <w:spacing w:beforeLines="0" w:afterLines="0"/>
              <w:rPr>
                <w:rFonts w:hint="default" w:ascii="宋 体" w:hAnsi="宋 体" w:eastAsia="宋 体"/>
                <w:sz w:val="18"/>
                <w:szCs w:val="24"/>
              </w:rPr>
            </w:pPr>
            <w:r>
              <w:rPr>
                <w:rFonts w:hint="default" w:ascii="宋 体" w:hAnsi="宋 体" w:eastAsia="宋 体"/>
                <w:sz w:val="18"/>
                <w:szCs w:val="24"/>
              </w:rPr>
              <w:t>(1)具有有效的安全生产许可证；</w:t>
            </w:r>
          </w:p>
          <w:p>
            <w:pPr>
              <w:spacing w:beforeLines="0" w:afterLines="0"/>
              <w:rPr>
                <w:rFonts w:hint="default" w:ascii="宋 体" w:hAnsi="宋 体" w:eastAsia="宋 体"/>
                <w:sz w:val="18"/>
                <w:szCs w:val="24"/>
              </w:rPr>
            </w:pPr>
            <w:r>
              <w:rPr>
                <w:rFonts w:hint="default" w:ascii="宋 体" w:hAnsi="宋 体" w:eastAsia="宋 体"/>
                <w:sz w:val="18"/>
                <w:szCs w:val="24"/>
              </w:rPr>
              <w:t>(2)具有中华人民共和国住房和城乡建设部颁发的电力工程施工总承包三级及以上或输变电工程专业承包三级及以上资质；</w:t>
            </w:r>
          </w:p>
          <w:p>
            <w:pPr>
              <w:spacing w:beforeLines="0" w:afterLines="0"/>
              <w:rPr>
                <w:rFonts w:hint="default" w:ascii="宋 体" w:hAnsi="宋 体" w:eastAsia="宋 体"/>
                <w:sz w:val="18"/>
                <w:szCs w:val="24"/>
              </w:rPr>
            </w:pPr>
            <w:r>
              <w:rPr>
                <w:rFonts w:hint="default" w:ascii="宋 体" w:hAnsi="宋 体" w:eastAsia="宋 体"/>
                <w:sz w:val="18"/>
                <w:szCs w:val="24"/>
              </w:rPr>
              <w:t xml:space="preserve">(3)具有电力监管机构颁发的承装(修、试)电力设施许可证，许可范围包含二级及以上承装、承试。                              </w:t>
            </w:r>
          </w:p>
          <w:p>
            <w:pPr>
              <w:spacing w:beforeLines="0" w:afterLines="0"/>
              <w:rPr>
                <w:rFonts w:hint="default" w:ascii="宋 体" w:hAnsi="宋 体" w:eastAsia="宋 体"/>
                <w:sz w:val="18"/>
                <w:szCs w:val="24"/>
              </w:rPr>
            </w:pPr>
            <w:r>
              <w:rPr>
                <w:rFonts w:hint="default" w:ascii="宋 体" w:hAnsi="宋 体" w:eastAsia="宋 体"/>
                <w:sz w:val="18"/>
                <w:szCs w:val="24"/>
              </w:rPr>
              <w:t>2、66kV变电土建施工</w:t>
            </w:r>
          </w:p>
          <w:p>
            <w:pPr>
              <w:spacing w:beforeLines="0" w:afterLines="0"/>
              <w:rPr>
                <w:rFonts w:hint="default" w:ascii="宋 体" w:hAnsi="宋 体" w:eastAsia="宋 体"/>
                <w:sz w:val="18"/>
                <w:szCs w:val="24"/>
              </w:rPr>
            </w:pPr>
            <w:r>
              <w:rPr>
                <w:rFonts w:hint="default" w:ascii="宋 体" w:hAnsi="宋 体" w:eastAsia="宋 体"/>
                <w:sz w:val="18"/>
                <w:szCs w:val="24"/>
              </w:rPr>
              <w:t>(1)具有有效的安全生产许可证；(2)具有中华人民共和国住房和城乡建设部颁发的建筑工程施工总承包三级及以上或电力工程施工总承包三级及以上或输变电工程专业承包三级及以上资质。</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2020年1月1日起至开标日，投标人具有与招标项目同类工程施工业绩不少于1项，并提供合同封面、项目的名称页和签字盖章页复印件或扫描件，提供发票复印件、发票查验结果截图。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项目经理:(1)持有政府部门颁发的项目负责人安全生产考核合格证书；(2)电气安装及线路工程应具备二级及以上注册建造师资格(机电工程)/土建工程应具备二级及以上注册建造师资格(建筑工程)。</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3、4</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(1)具有住房城乡建设主管部门颁发的安全生产许可证。</w:t>
            </w:r>
          </w:p>
          <w:p>
            <w:pPr>
              <w:spacing w:beforeLines="0" w:afterLines="0"/>
              <w:rPr>
                <w:rFonts w:hint="default" w:ascii="宋 体" w:hAnsi="宋 体" w:eastAsia="宋 体"/>
                <w:sz w:val="18"/>
                <w:szCs w:val="24"/>
              </w:rPr>
            </w:pPr>
            <w:r>
              <w:rPr>
                <w:rFonts w:hint="default" w:ascii="宋 体" w:hAnsi="宋 体" w:eastAsia="宋 体"/>
                <w:sz w:val="18"/>
                <w:szCs w:val="24"/>
              </w:rPr>
              <w:t>(2)具有住房城乡建设主管部门颁发的电力工程施工总承包三级及以上资质，或水利水电工程施工总承包三级及以上资质，或水利水电机电安装工程专业承包三级及以上资质，或电力监管部门或国家能源局颁发的承装(修、试)电力设施许可证，其许可类别包括承修三级及以上。</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2020年1月1日起至开标日，投标人具有同类设备大修/改造业绩不少于1项，并提供合同封面、项目的名称页和签字盖章页复印件或扫描件，提供发票复印件、发票查验结果截图。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项目经理:(1)持有政府部门颁发的项目负责人安全生产考核合格证书；(2)具备二级及以上注册建造师资格(机电工程)。</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分标名称：水电生产辅助服务绿源生技处施工项目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分标编号：392552-9005005-1602</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(1)具有住房城乡建设主管部门颁发的安全生产许可证。</w:t>
            </w:r>
          </w:p>
          <w:p>
            <w:pPr>
              <w:spacing w:beforeLines="0" w:afterLines="0"/>
              <w:rPr>
                <w:rFonts w:hint="default" w:ascii="宋 体" w:hAnsi="宋 体" w:eastAsia="宋 体"/>
                <w:sz w:val="18"/>
                <w:szCs w:val="24"/>
              </w:rPr>
            </w:pPr>
            <w:r>
              <w:rPr>
                <w:rFonts w:hint="default" w:ascii="宋 体" w:hAnsi="宋 体" w:eastAsia="宋 体"/>
                <w:sz w:val="18"/>
                <w:szCs w:val="24"/>
              </w:rPr>
              <w:t>(2)具有住房城乡建设主管部门颁发的水利水电工程施工总承包三级及以上资质，或防水防腐保温工程专业承包二级及以上资质。</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2022年1月1日起至开标日，投标人具有与招标项目同等规模等级及以上类似工程业绩不少于1项，并提供合同封面、项目的名称页和签字盖章页复印件或扫描件，提供发票复印件、发票查验结果截图。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项目负责人:(1)持有政府部门颁发的项目负责人安全生产考核合格证书；(2)具备二级及以上注册建造师资格(水利水电工程专业或建筑工程专业或机电工程专业)。</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分标名称：房屋维修后勤中心监理项目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分标编号：392552-9013001-1104</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具有建设行政主管部门核发的建筑工程监理丙级及以上或工程监理综合资质。</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2020年1月1日起至开标日，投标人具有房屋建筑工程监理业绩不少于1项，并提供合同封面、项目的名称页和签字盖章页复印件或扫描件，提供发票复印件、发票查验结果截图。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总监：具有国家注册监理工程师资格证书(房屋建筑工程)</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分标名称：水电工程监理绿源生技处监理项目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分标编号：392552-9004003-1604</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具有住房城乡建设主管部门颁发的工程监理综合资质，或水利水电工程监理乙级及以上资质，或电力工程监理乙级及以上资质。</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2020年1月1日起至开标日，投标人具有水电站机电设备检修监理或改造工程监理业绩不少于1项，并提供合同封面、项目的名称页和签字盖章页复印件或扫描件，提供发票复印件、发票查验结果截图。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项目总监：具有国家注册监理工程师资格证书。</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分标名称：中介服务财务服务项目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分标编号：392552-9012020-0261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2020年1月1日起至开标日，投标人具有在用资产评估服务业绩不少于1个，并提供合同封面、项目的名称页和签字盖章页复印件或扫描件，提供发票复印件、发票查验结果截图。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2022年1月1日起至开标日，投标人具有咨询服务业绩不少于1项，并提供合同封面、项目的名称页和签字盖章页复印件或扫描件，提供发票复印件、发票查验结果截图。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具有税务师事务所行政登记证书或会计师事务所执业证书或律师事务所执业许可证</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2020年1月1日起至开标日，投标人具有税务服务业绩不少于1项，并提供合同封面、项目的名称页和签字盖章页复印件或扫描件，提供发票复印件、发票查验结果截图。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分标名称：咨询服务电网中心服务项目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分标编号：392552-9012021-0361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2022年1月1日起至开标日，投标人具有电网规划专题研究或电网项目可行性研究类似业绩不少于1项，并提供合同封面、项目的名称页和签字盖章页复印件或扫描件，提供发票复印件、发票查验结果截图。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2-5</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2022年1月1日起至开标日，投标人具有与招标项目相关业绩不少于1项，并提供合同封面、项目的名称页和签字盖章页复印件或扫描件，提供发票复印件、发票查验结果截图。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分标名称：业务运营服务安监服务项目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分标编号：392552-9010004-0461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2020年1月1日起至开标日，投标人具有信息系统安全测评或加固相关业绩不少于1项,并提供合同封面、项目的名称页和签字盖章页复印件或扫描件，提供发票复印件、发票查验结果截图。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2020年1月1日起至开标日，投标人具有技术开发或技术服务业绩不少于1项，并提供合同封面、项目的名称页和签字盖章页复印件或扫描件，提供发票复印件、发票查验结果截图。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分标名称：数字化运维安监服务项目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分标编号：392552-9010005-0461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2020年1月1日起至开标日，投标人具有信息系统支持服务相关业绩不少于1项，并提供合同封面、项目的名称页和签字盖章页复印件或扫描件，提供发票复印件、发票查验结果截图。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分标名称：消防服务安监服务项目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分标编号：392552-9011006-0461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2020年1月1日起至开标日，投标人具有消防设备设施维保业绩不少于1项，并提供合同封面、项目的名称页和签字盖章页复印件或扫描件，提供发票复印件、发票查验结果截图。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项目负责人：二级及以上注册消防工程师</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分标名称：环境检测安监服务项目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分标编号：392552-9012005-0461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具有检验检测机构资质认定证书(CMA)</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2022年1月1日起至开标日，投标人具有环境检测业绩不少于1项，并提供合同封面、项目的名称页和签字盖章页复印件或扫描件，提供发票复印件、发票查验结果截图。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分标名称：咨询服务安监服务项目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分标编号：392552-9012021-0461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2022年1月1日起至开标日，投标人具有咨询服务业绩不少于1项，并提供合同封面、项目的名称页和签字盖章页复印件或扫描件，提供发票复印件、发票查验结果截图。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分标名称：非电网设备维保安监服务项目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分标编号：392552-9013004-0461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2020年1月1日起至开标日，投标人具有与招标项目同类自动化系统运维业绩不少于1项，并提供合同封面、项目的名称页和签字盖章页复印件或扫描件，提供发票复印件、发票查验结果截图。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分标名称：特种设备维保安监服务项目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分标编号：392552-9013005-0461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特种设备生产许可证，许可项目包含电梯制造(含安装、修理、改造)或电梯安装(含修理)，子项目包含曳引驱动乘客电梯(含消防员电梯)B级(V≤2.5m/s)及以上)</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2020年1月1日起至开标日，投标人具有电梯安装或改造或维修业绩不少于1项，并提供合同封面、项目的名称页和签字盖章页复印件或扫描件，提供发票复印件、发票查验结果截图。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作业人员应具有国家市场监督管理部门颁发的特种设备作业人员证书(电梯修理)。</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分标名称：电网工程施工监理调控服务项目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分标编号：392552-9001003-0561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具有建设行政主管部门核发的工程监理综合资质或机电工程监理乙级及以上资质。</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2020年1月1日起至开标日，投标人具有机电工程或总承包工程监理服务业绩不少于1项，并提供合同封面、项目的名称页和签字盖章页复印件或扫描件，提供发票复印件、发票查验结果截图。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项目总监：具有国家注册监理工程师资格证书</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分标名称：信息系统开发实施调控服务项目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分标编号：392552-9010002-0561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1-6、11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2020年1月1日起至开标日，投标人具有信息系统开发相关业绩不少于1项,并提供合同封面、项目的名称页和签字盖章页复印件或扫描件，提供发票复印件、发票查验结果截图。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7-10</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2022年1月1日起至开标日，投标人具有同类业绩不少于1项,并提供合同封面、项目的名称页和签字盖章页复印件或扫描件，提供发票复印件、发票查验结果截图。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分标名称：设备安装调试调控服务项目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分标编号：392552-9012013-0561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1-6</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2022年1月1日起至开标日，投标人具有同类业绩不少于1项,并提供合同封面、项目的名称页和签字盖章页复印件或扫描件，提供发票复印件、发票查验结果截图。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分标名称：系统运维调控服务项目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分标编号：392552-9013007-0561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1-17</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2022年1月1日起至开标日，投标人具有同类业绩不少于1项,并提供合同封面、项目的名称页和签字盖章页复印件或扫描件，提供发票复印件、发票查验结果截图。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18-26</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2022年1月1日起至开标日，投标人具有同类业绩不少于1项,并提供合同封面、项目的名称页和签字盖章页复印件或扫描件，提供发票复印件、发票查验结果截图。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分标名称：技术服务办公室服务项目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分标编号：392552-9012006-0861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2020年1月1日起至开标日，投标人应具有同类项目业绩不少于1项，并提供合同封面、项目的名称页和签字盖章页复印件或扫描件，提供发票复印件、发票查验结果截图。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分标名称：中介服务办公室服务项目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分标编号：392552-9012020-0861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依法在中华人民共和国境内成立的律师事务所，具有司法机关颁发的律师事务所《执业许可证》</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2020年1月1日起至开标日，投标人具有法律服务业绩不少于1项，并提供合同封面、项目的名称页和签字盖章页复印件或扫描件，提供发票复印件、发票查验结果截图。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项目负责人需持有律师执业资格证</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分标名称：数字化咨询设计生产部服务项目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分标编号：392552-9010001-0961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2020年1月1日起至开标日，投标人具数字化咨询设计业绩不少于1项,并提供合同封面、项目的名称页和签字盖章页复印件或扫描件，提供发票复印件、发票查验结果截图。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分标名称：科技项目生产部服务项目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分标编号：392552-9012008-0961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2020年1月1日起至开标日，投标人具有技术开发或技术服务业绩不少于1项，并提供合同封面及项目标的名称页和签字盖章页，及合同发票复印件及验证截图。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分标名称：非电网设备维保生产部服务项目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分标编号：392552-9013004-0961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2020年1月1日起至开标日，投标人具有设备维保服务相关业绩不少于1项,并提供合同封面、项目的名称页和签字盖章页复印件或扫描件，提供发票复印件、发票查验结果截图。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分标名称：系统运维生产部服务项目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分标编号：392552-9013007-0961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1-3</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2020年1月1日起至开标日，投标人具有信息系统支持服务相关业绩不少于1项，并提供合同封面、项目的名称页和签字盖章页复印件或扫描件，提供发票复印件、发票查验结果截图。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分标名称：车辆服务后勤中心服务项目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分标编号：392552-9011002-1161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2020年1月1日起至开标日，投标人具有车辆维修业绩不少于1项，并提供合同封面、项目的名称页和签字盖章页复印件或扫描件，提供发票复印件、发票查验结果截图。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分标名称：消防服务后勤中心服务项目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分标编号：392552-9011006-1161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2020年1月1日起至开标日，投标人具有消防系统检测业绩不少于1项，并提供合同封面、项目的名称页和签字盖章页复印件或扫描件，提供发票复印件、发票查验结果截图。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项目负责人：一级注册消防工程师</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2020年1月1日起至开标日，投标具有消防设备设施维保业绩不少于1项，并提供合同封面、项目的名称页和签字盖章页复印件或扫描件，提供发票复印件、发票查验结果截图。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项目负责人：一级注册消防工程师</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分标名称：电力设施保护后勤中心服务项目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分标编号：392552-9012003-1161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2022年1月1日起至开标日，投标人具有同类业绩不少于1项,并提供合同封面、项目的名称页和签字盖章页复印件或扫描件，提供发票复印件、发票查验结果截图。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2020年1月1日起至开标日，具有1项及以上电力设施保护护线服务业绩，并提供合同封面、项目的名称页和签字盖章页复印件或扫描件，提供发票复印件、发票查验结果截图。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分标名称：技术服务后勤中心服务项目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分标编号：392552-9012006-1161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2020年1月1日起至开标日，投标人具有技术开发或技术服务业绩不少于1项，并提供合同封面、项目的名称页和签字盖章页复印件或扫描件，提供发票复印件、发票查验结果截图。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分标名称：设备检测试验后勤中心服务项目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分标编号：392552-9012015-1161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2022年1月1日起至开标日，具有1项及以上同类业绩，并提供合同封面、项目的名称页和签字盖章页复印件或扫描件，提供发票复印件、发票查验结果截图。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投标人的运维团队中至少2人具有</w:t>
            </w:r>
            <w:r>
              <w:rPr>
                <w:rFonts w:hint="default" w:ascii="宋 体" w:hAnsi="宋 体" w:eastAsia="宋 体"/>
                <w:sz w:val="18"/>
                <w:szCs w:val="24"/>
                <w:lang w:eastAsia="zh-CN"/>
              </w:rPr>
              <w:t>《</w:t>
            </w:r>
            <w:r>
              <w:rPr>
                <w:rFonts w:hint="default" w:ascii="宋 体" w:hAnsi="宋 体" w:eastAsia="宋 体"/>
                <w:sz w:val="18"/>
                <w:szCs w:val="24"/>
                <w:lang w:val="en-US" w:eastAsia="zh-CN"/>
              </w:rPr>
              <w:t>特种作业操作证（电工作业）</w:t>
            </w:r>
            <w:r>
              <w:rPr>
                <w:rFonts w:hint="default" w:ascii="宋 体" w:hAnsi="宋 体" w:eastAsia="宋 体"/>
                <w:sz w:val="18"/>
                <w:szCs w:val="24"/>
                <w:lang w:eastAsia="zh-CN"/>
              </w:rPr>
              <w:t>》</w:t>
            </w:r>
            <w:r>
              <w:rPr>
                <w:rFonts w:hint="default" w:ascii="宋 体" w:hAnsi="宋 体" w:eastAsia="宋 体"/>
                <w:sz w:val="18"/>
                <w:szCs w:val="24"/>
              </w:rPr>
              <w:t>认证证书，并提供劳务合同或劳动合同、人员社保证明材料(以加盖公章的证书复印件为准并提供6个月及以上社保证明)。</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分标名称：中介服务后勤中心服务项目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分标编号：392552-9012020-1161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具有会计师事务所执业资格证</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2020年1月1日起至开标日，投标人具有会计服务业绩不少于1项，并提供合同封面、项目的名称页和签字盖章页复印件或扫描件，提供发票复印件、发票查验结果截图。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分标名称：房屋维修后勤中心服务项目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分标编号：392552-9013001-1161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2020年1月1日起至开标日，投标人应具有类似工程的造价咨询服务业绩不少于1项，并提供合同封面、项目的名称页和签字盖章页复印件或扫描件，提供发票复印件、发票查验结果截图。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项目负责人:具有一级注册造价师执业资格。</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分标名称：后勤服务后勤中心服务项目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分标编号：392552-9013003-1161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2020年1月1日起至开标日，投标人具有绿化美化服务业绩不少于1项，并提供合同封面、项目的名称页和签字盖章页复印件或扫描件，提供发票复印件、发票查验结果截图。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2、3、5</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2020年1月1日起至开标日，投标人具有物业管理业绩不少于1项，并提供合同封面、项目的名称页和签字盖章页复印件或扫描件，提供发票复印件、发票查验结果截图。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4、6</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2020年1月1日起至开标日，投标人具有绿化美化服务业绩不少于1项，并提供合同封面、项目的名称页和签字盖章页复印件或扫描件，提供发票复印件、发票查验结果截图。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2022年1月1日起至开标日，投标人具有物业管理业绩不少于1项，并提供合同封面、项目的名称页和签字盖章页复印件或扫描件，提供发票复印件、发票查验结果截图。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2020年1月1日起至开标日，投标人具有卫生保洁业绩不少于1项，并提供合同封面、项目的名称页和签字盖章页复印件或扫描件，提供发票复印件、发票查验结果截图。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分标名称：非电网设备维保后勤中心服务项目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分标编号：392552-9013004-1161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val="en-US" w:eastAsia="zh-CN"/>
              </w:rPr>
            </w:pPr>
            <w:r>
              <w:rPr>
                <w:rFonts w:hint="default" w:ascii="宋 体" w:hAnsi="宋 体" w:eastAsia="宋 体"/>
                <w:sz w:val="18"/>
                <w:szCs w:val="24"/>
              </w:rPr>
              <w:t>1</w:t>
            </w:r>
            <w:r>
              <w:rPr>
                <w:rFonts w:hint="default" w:ascii="宋 体" w:hAnsi="宋 体" w:eastAsia="宋 体"/>
                <w:sz w:val="18"/>
                <w:szCs w:val="24"/>
                <w:lang w:eastAsia="zh-CN"/>
              </w:rPr>
              <w:t>、</w:t>
            </w:r>
            <w:r>
              <w:rPr>
                <w:rFonts w:hint="default" w:ascii="宋 体" w:hAnsi="宋 体" w:eastAsia="宋 体"/>
                <w:sz w:val="18"/>
                <w:szCs w:val="24"/>
                <w:lang w:val="en-US" w:eastAsia="zh-CN"/>
              </w:rPr>
              <w:t>2</w:t>
            </w:r>
            <w:r>
              <w:rPr>
                <w:rFonts w:hint="default" w:ascii="宋 体" w:hAnsi="宋 体" w:eastAsia="宋 体"/>
                <w:sz w:val="18"/>
                <w:szCs w:val="24"/>
                <w:lang w:eastAsia="zh-CN"/>
              </w:rPr>
              <w:t>、</w:t>
            </w:r>
            <w:r>
              <w:rPr>
                <w:rFonts w:hint="default" w:ascii="宋 体" w:hAnsi="宋 体" w:eastAsia="宋 体"/>
                <w:sz w:val="18"/>
                <w:szCs w:val="24"/>
                <w:lang w:val="en-US" w:eastAsia="zh-CN"/>
              </w:rPr>
              <w:t>4</w:t>
            </w:r>
            <w:r>
              <w:rPr>
                <w:rFonts w:hint="default" w:ascii="宋 体" w:hAnsi="宋 体" w:eastAsia="宋 体"/>
                <w:sz w:val="18"/>
                <w:szCs w:val="24"/>
                <w:lang w:eastAsia="zh-CN"/>
              </w:rPr>
              <w:t>、</w:t>
            </w:r>
            <w:r>
              <w:rPr>
                <w:rFonts w:hint="default" w:ascii="宋 体" w:hAnsi="宋 体" w:eastAsia="宋 体"/>
                <w:sz w:val="18"/>
                <w:szCs w:val="24"/>
                <w:lang w:val="en-US" w:eastAsia="zh-CN"/>
              </w:rPr>
              <w:t>6</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2022年1月1日起至开标日，具有1项及以上同类业绩，并提供合同封面、项目的名称页和签字盖章页复印件或扫描件，提供发票复印件、发票查验结果截图。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投标人的运维团队中至少2人具有</w:t>
            </w:r>
            <w:r>
              <w:rPr>
                <w:rFonts w:hint="default" w:ascii="宋 体" w:hAnsi="宋 体" w:eastAsia="宋 体"/>
                <w:sz w:val="18"/>
                <w:szCs w:val="24"/>
                <w:lang w:eastAsia="zh-CN"/>
              </w:rPr>
              <w:t>《</w:t>
            </w:r>
            <w:r>
              <w:rPr>
                <w:rFonts w:hint="default" w:ascii="宋 体" w:hAnsi="宋 体" w:eastAsia="宋 体"/>
                <w:sz w:val="18"/>
                <w:szCs w:val="24"/>
                <w:lang w:val="en-US" w:eastAsia="zh-CN"/>
              </w:rPr>
              <w:t>特种作业操作证（电工作业）</w:t>
            </w:r>
            <w:r>
              <w:rPr>
                <w:rFonts w:hint="default" w:ascii="宋 体" w:hAnsi="宋 体" w:eastAsia="宋 体"/>
                <w:sz w:val="18"/>
                <w:szCs w:val="24"/>
                <w:lang w:eastAsia="zh-CN"/>
              </w:rPr>
              <w:t>》</w:t>
            </w:r>
            <w:r>
              <w:rPr>
                <w:rFonts w:hint="default" w:ascii="宋 体" w:hAnsi="宋 体" w:eastAsia="宋 体"/>
                <w:sz w:val="18"/>
                <w:szCs w:val="24"/>
              </w:rPr>
              <w:t>认证证书，并提供劳务合同或劳动合同、人员社保证明材料(以加盖公章的证书复印件为准并提供6个月及以上社保证明)。</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lang w:val="en-US" w:eastAsia="zh-CN"/>
              </w:rPr>
              <w:t>3</w:t>
            </w:r>
            <w:r>
              <w:rPr>
                <w:rFonts w:hint="default" w:ascii="宋 体" w:hAnsi="宋 体" w:eastAsia="宋 体"/>
                <w:sz w:val="18"/>
                <w:szCs w:val="24"/>
                <w:lang w:eastAsia="zh-CN"/>
              </w:rPr>
              <w:t>、</w:t>
            </w:r>
            <w:r>
              <w:rPr>
                <w:rFonts w:hint="default" w:ascii="宋 体" w:hAnsi="宋 体" w:eastAsia="宋 体"/>
                <w:sz w:val="18"/>
                <w:szCs w:val="24"/>
                <w:lang w:val="en-US" w:eastAsia="zh-CN"/>
              </w:rPr>
              <w:t>5</w:t>
            </w:r>
            <w:r>
              <w:rPr>
                <w:rFonts w:hint="default" w:ascii="宋 体" w:hAnsi="宋 体" w:eastAsia="宋 体"/>
                <w:sz w:val="18"/>
                <w:szCs w:val="24"/>
                <w:lang w:eastAsia="zh-CN"/>
              </w:rPr>
              <w:t>、</w:t>
            </w:r>
            <w:r>
              <w:rPr>
                <w:rFonts w:hint="default" w:ascii="宋 体" w:hAnsi="宋 体" w:eastAsia="宋 体"/>
                <w:sz w:val="18"/>
                <w:szCs w:val="24"/>
                <w:lang w:val="en-US" w:eastAsia="zh-CN"/>
              </w:rPr>
              <w:t>7</w:t>
            </w:r>
            <w:r>
              <w:rPr>
                <w:rFonts w:hint="default" w:ascii="宋 体" w:hAnsi="宋 体" w:eastAsia="宋 体"/>
                <w:sz w:val="18"/>
                <w:szCs w:val="24"/>
                <w:lang w:eastAsia="zh-CN"/>
              </w:rPr>
              <w:t>、</w:t>
            </w:r>
            <w:r>
              <w:rPr>
                <w:rFonts w:hint="default" w:ascii="宋 体" w:hAnsi="宋 体" w:eastAsia="宋 体"/>
                <w:sz w:val="18"/>
                <w:szCs w:val="24"/>
                <w:lang w:val="en-US" w:eastAsia="zh-CN"/>
              </w:rPr>
              <w:t>8</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2022年1月1日起至开标日，具有1项及以上同类业绩，并提供合同封面、项目的名称页和签字盖章页复印件或扫描件，提供发票复印件、发票查验结果截图。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投标人的运维团队中至少2人具有</w:t>
            </w:r>
            <w:r>
              <w:rPr>
                <w:rFonts w:hint="default" w:ascii="宋 体" w:hAnsi="宋 体" w:eastAsia="宋 体"/>
                <w:sz w:val="18"/>
                <w:szCs w:val="24"/>
                <w:lang w:eastAsia="zh-CN"/>
              </w:rPr>
              <w:t>《</w:t>
            </w:r>
            <w:r>
              <w:rPr>
                <w:rFonts w:hint="default" w:ascii="宋 体" w:hAnsi="宋 体" w:eastAsia="宋 体"/>
                <w:sz w:val="18"/>
                <w:szCs w:val="24"/>
                <w:lang w:val="en-US" w:eastAsia="zh-CN"/>
              </w:rPr>
              <w:t>特种作业操作证（制冷与空调作业）</w:t>
            </w:r>
            <w:r>
              <w:rPr>
                <w:rFonts w:hint="default" w:ascii="宋 体" w:hAnsi="宋 体" w:eastAsia="宋 体"/>
                <w:sz w:val="18"/>
                <w:szCs w:val="24"/>
                <w:lang w:eastAsia="zh-CN"/>
              </w:rPr>
              <w:t>》</w:t>
            </w:r>
            <w:r>
              <w:rPr>
                <w:rFonts w:hint="default" w:ascii="宋 体" w:hAnsi="宋 体" w:eastAsia="宋 体"/>
                <w:sz w:val="18"/>
                <w:szCs w:val="24"/>
              </w:rPr>
              <w:t>认证证书，并提供劳务合同或劳动合同、人员社保证明材料(以加盖公章的证书复印件为准并提供6个月及以上社保证明)。</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分标名称：特种设备维保后勤中心服务项目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分标编号：392552-9013005-1161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特种设备生产许可证，许可项目包含电梯制造(含安装、修理、改造)或电梯安装(含修理)，子项目包含曳引驱动乘客电梯(含消防员电梯)A2级(2.5m/s＜V≤6m/s)及以上)</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2020年1月1日起至开标日，投标人具有电梯安装或改造或维修业绩不少于1项，并提供合同封面、项目的名称页和签字盖章页复印件或扫描件，提供发票复印件、发票查验结果截图。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作业人员应具有国家市场监督管理部门颁发的特种设备作业人员证书(电梯修理)。</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分标名称：委托运行维护服务后勤中心服务项目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分标编号：392552-9013006-1161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电力设施许可证：承修、承试五级及以上</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2020年1月1日起至开标日，投标人具有变电站辅助设备运维或修理业绩不少于1项，并提供合同封面、项目的名称页和签字盖章页复印件或扫描件，提供发票复印件、发票查验结果截图。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分标名称：电网工程咨询服务发展部服务项目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分标编号：392552-9001005-1361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2020年1月1日起至开标日，投标人具有水土保持方案编制业绩不少于1项，并提供合同封面及项目标的名称页和签字盖章页，及合同发票复印件及验证截图。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分标名称：咨询服务发展部服务项目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分标编号：392552-9012021-1361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1-8</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2022年1月1日起至开标日，投标人具有咨询服务业绩不少于1项，并提供合同封面、项目的名称页和签字盖章页复印件或扫描件，提供发票复印件、发票查验结果截图。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分标名称：水电机组技改检修运维绿源生技处服务</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分标编号：392552-9005001-1661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具有电力监管部门或国家能源局颁发的承装(修、试)电力设施许可证，其许可类别包括承试二级及以上资质。</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与招标项目同等电压等级及以上电气设备预防性试验服务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2、3</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2022年1月1日起至开标日，投标人具有与招标项目同类发电机组涉网试验的业绩不少于1项，并提供合同封面、项目的名称页和签字盖章页复印件或扫描件，提供发票复印件、发票查验结果截图。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分标名称：水电公用系统技改检修绿源生技处服务</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分标编号：392552-9005002-1661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2020年1月1日起至开标日，投标人具有与招标项目同类自动化系统运维业绩不少于1项，并提供合同封面、项目的名称页和签字盖章页复印件或扫描件，提供发票复印件、发票查验结果截图。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分标名称：水工设备设施技改检修绿源生技处服务</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分标编号：392552-9005004-1661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2020年1月1日起至开标日，投标人具有与招标项目同类自动化系统运维业绩不少于1项，并提供合同封面、项目的名称页和签字盖章页复印件或扫描件，提供发票复印件、发票查验结果截图。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分标名称：数字化运维绿源生技处服务项目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分标编号：392552-9010005-1661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2020年1月1日起至开标日，投标人具有设备维保服务相关业绩不少于1项,并提供合同封面、项目的名称页和签字盖章页复印件或扫描件，提供发票复印件、发票查验结果截图。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分标名称：消防服务绿源生技处服务项目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分标编号：392552-9011006-1661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2020年1月1日起至开标日，投标人具有消防设备设施维保业绩不少于1项，并提供合同封面、项目的名称页和签字盖章页复印件或扫描件，提供发票复印件、发票查验结果截图。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项目负责人：二级及以上注册消防工程师</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分标名称：技术服务绿源生技处服务项目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分标编号：392552-9012006-1661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(1)具有电源工程类一级(甲级)资质单位。</w:t>
            </w:r>
          </w:p>
          <w:p>
            <w:pPr>
              <w:spacing w:beforeLines="0" w:afterLines="0"/>
              <w:rPr>
                <w:rFonts w:hint="default" w:ascii="宋 体" w:hAnsi="宋 体" w:eastAsia="宋 体"/>
                <w:sz w:val="18"/>
                <w:szCs w:val="24"/>
              </w:rPr>
            </w:pPr>
            <w:r>
              <w:rPr>
                <w:rFonts w:hint="default" w:ascii="宋 体" w:hAnsi="宋 体" w:eastAsia="宋 体"/>
                <w:sz w:val="18"/>
                <w:szCs w:val="24"/>
              </w:rPr>
              <w:t>(2)具有质量监督局颁发的检验检测机构资质认定证书。</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2022年1月1日起至开标日，投标人具有同类业绩不少于1项，并提供合同封面、项目的名称页和签字盖章页复印件或扫描件，提供发票复印件、发票查验结果截图。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分标名称：设备检测试验绿源生技处服务项目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分标编号：392552-9012015-1661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具有市场监督管理部门核准的特种设备检验机构乙类及以上检验机构，或具有水利部颁发的水利工程质量检测单位乙级及以上资质(金属结构类)，或质量技术监督行政主管部门颁发的特种设备检验检测机构核准证书(无损检测机构)。</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2020年1月1日起至开标日，投标人具有同类检验业绩不少于1项，并提供合同封面、项目的名称页和签字盖章页复印件或扫描件，提供发票复印件、发票查验结果截图。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rPr>
          <w:rFonts w:hint="default" w:ascii="宋 体" w:hAnsi="宋 体" w:eastAsia="宋 体"/>
          <w:sz w:val="20"/>
          <w:szCs w:val="24"/>
        </w:rPr>
      </w:pPr>
      <w:r>
        <w:rPr>
          <w:rFonts w:hint="default" w:ascii="宋 体" w:hAnsi="宋 体" w:eastAsia="宋 体"/>
          <w:b/>
          <w:sz w:val="20"/>
          <w:szCs w:val="24"/>
        </w:rPr>
        <w:t>分标名称：系统运维绿源生技处服务项目</w:t>
      </w:r>
    </w:p>
    <w:p>
      <w:pPr>
        <w:spacing w:beforeLines="0" w:afterLines="0"/>
        <w:rPr>
          <w:rFonts w:hint="default" w:ascii="宋 体" w:hAnsi="宋 体" w:eastAsia="宋 体"/>
          <w:sz w:val="20"/>
          <w:szCs w:val="24"/>
        </w:rPr>
      </w:pPr>
      <w:r>
        <w:rPr>
          <w:rFonts w:hint="default" w:ascii="宋 体" w:hAnsi="宋 体" w:eastAsia="宋 体"/>
          <w:b/>
          <w:sz w:val="20"/>
          <w:szCs w:val="24"/>
        </w:rPr>
        <w:t>分标编号：392552-9013007-1661</w:t>
      </w:r>
    </w:p>
    <w:p>
      <w:pPr>
        <w:spacing w:beforeLines="0" w:afterLines="0"/>
        <w:rPr>
          <w:rFonts w:hint="default" w:ascii="宋 体" w:hAnsi="宋 体" w:eastAsia="宋 体"/>
          <w:sz w:val="20"/>
          <w:szCs w:val="24"/>
        </w:rPr>
      </w:pPr>
      <w:r>
        <w:rPr>
          <w:rFonts w:hint="default" w:ascii="宋 体" w:hAnsi="宋 体" w:eastAsia="宋 体"/>
          <w:b/>
          <w:sz w:val="20"/>
          <w:szCs w:val="24"/>
        </w:rPr>
        <w:t>限制中标原则：无</w:t>
      </w:r>
    </w:p>
    <w:p>
      <w:pPr>
        <w:spacing w:beforeLines="0" w:afterLines="0"/>
        <w:rPr>
          <w:rFonts w:hint="default" w:ascii="宋 体" w:hAnsi="宋 体" w:eastAsia="宋 体"/>
          <w:sz w:val="20"/>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4452"/>
        <w:gridCol w:w="3710"/>
        <w:gridCol w:w="2968"/>
        <w:gridCol w:w="29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资质要求</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业绩要求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人员要求</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其他要求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445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371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2022年1月1日起至开标日，投标人具有同类业绩不少于1项,并提供合同封面、项目的名称页和签字盖章页复印件或扫描件，提供发票复印件、发票查验结果截图。</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c>
          <w:tcPr>
            <w:tcW w:w="2968"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r>
              <w:rPr>
                <w:rFonts w:hint="default" w:ascii="宋 体" w:hAnsi="宋 体" w:eastAsia="宋 体"/>
                <w:sz w:val="18"/>
                <w:szCs w:val="24"/>
              </w:rPr>
              <w:t>/</w:t>
            </w:r>
          </w:p>
        </w:tc>
      </w:tr>
    </w:tbl>
    <w:p>
      <w:pPr>
        <w:spacing w:beforeLines="0" w:afterLines="0"/>
        <w:rPr>
          <w:rFonts w:hint="default"/>
          <w:sz w:val="24"/>
          <w:szCs w:val="24"/>
        </w:rPr>
      </w:pPr>
    </w:p>
    <w:p>
      <w:pPr>
        <w:spacing w:beforeLines="0" w:afterLines="0"/>
        <w:jc w:val="center"/>
        <w:rPr>
          <w:rFonts w:hint="default" w:ascii="宋 体" w:hAnsi="宋 体" w:eastAsia="宋 体"/>
          <w:sz w:val="36"/>
          <w:szCs w:val="24"/>
        </w:rPr>
      </w:pPr>
      <w:r>
        <w:rPr>
          <w:rFonts w:hint="default"/>
          <w:sz w:val="24"/>
          <w:szCs w:val="24"/>
        </w:rPr>
        <w:br w:type="page"/>
      </w:r>
      <w:r>
        <w:rPr>
          <w:rFonts w:hint="default" w:ascii="宋 体" w:hAnsi="宋 体" w:eastAsia="宋 体"/>
          <w:b/>
          <w:sz w:val="36"/>
          <w:szCs w:val="24"/>
        </w:rPr>
        <w:t>国网东北分部2025年第五次服务公开招标批次采购项目采购需求一览表</w:t>
      </w:r>
    </w:p>
    <w:p>
      <w:pPr>
        <w:spacing w:beforeLines="0" w:afterLines="0"/>
        <w:jc w:val="center"/>
        <w:rPr>
          <w:rFonts w:hint="default" w:ascii="宋 体" w:hAnsi="宋 体" w:eastAsia="宋 体"/>
          <w:sz w:val="36"/>
          <w:szCs w:val="24"/>
        </w:rPr>
      </w:pPr>
    </w:p>
    <w:tbl>
      <w:tblPr>
        <w:tblStyle w:val="15"/>
        <w:tblW w:w="148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42"/>
        <w:gridCol w:w="890"/>
        <w:gridCol w:w="593"/>
        <w:gridCol w:w="593"/>
        <w:gridCol w:w="593"/>
        <w:gridCol w:w="1929"/>
        <w:gridCol w:w="1929"/>
        <w:gridCol w:w="1929"/>
        <w:gridCol w:w="1484"/>
        <w:gridCol w:w="890"/>
        <w:gridCol w:w="890"/>
        <w:gridCol w:w="890"/>
        <w:gridCol w:w="742"/>
        <w:gridCol w:w="74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分标编号</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分标名称</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包号</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采购申请号</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行号</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包名称</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工程名称</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工程概况</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建设单位</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开工日期</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竣工日期</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批准文号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分项最高限价（万元）</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b/>
                <w:sz w:val="18"/>
                <w:szCs w:val="24"/>
              </w:rPr>
              <w:t>最高限价（万元）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392552-9001002-0502</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电网工程施工调控施工项目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3004246933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国网东北分部调度交换系统改造工程-安装调试（辽宁、黑龙江）</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国网东北分部调度交换系统改造工程-安装调试（辽宁、黑龙江）</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本工程新增调度程控交换机34套，网管系统2套，10G传输设备1套。其中，本包在辽宁地区、黑龙江地区新增调度程控交换机20套，网管系统1套。</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20260401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东北发展〔2025〕16号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71.8839</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71.8839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3004246934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国网东北分部调度交换系统改造工程-安装调试（吉林、蒙东）</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国网东北分部调度交换系统改造工程-安装调试（吉林、蒙东）</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本工程新增调度程控交换机34套，网管系统2套，10G传输设备1套。其中，本包在吉林地区、蒙东地区新增调度程控交换机14套，网管系统1套。</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20260401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东北发展〔2025〕16号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50.972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50.972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392552-9013001-1102</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房屋维修后勤中心施工项目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3004246958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2025年本部办公楼零星维修</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2025年本部办公楼零星维修</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2025年本部办公楼零星维修</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20251215</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东北财〔2025〕40号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3004246858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国网东北分部绿源水力发电公司云峰发电厂2025年房屋维修及拆除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国网东北分部绿源水力发电公司云峰发电厂2025年房屋维修及拆除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国网东北分部绿源水力发电公司云峰发电厂2025年房屋维修及拆除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20251215</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92.1</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92.1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392552-9001002-1602</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电网工程施工绿源生技处施工项目</w:t>
            </w:r>
          </w:p>
        </w:tc>
        <w:tc>
          <w:tcPr>
            <w:tcW w:w="593"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3004246869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国网东北分部绿源公司太平湾发电厂长甸电站稳定控制装置改造-安装工程等2项工程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国网东北分部绿源公司太平湾发电厂长甸电站稳定控制装置改造-安装工程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国网东北分部绿源公司太平湾发电厂长甸电站稳定控制装置改造-安装工程</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20260301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13.57</w:t>
            </w:r>
          </w:p>
        </w:tc>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27.76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3004246870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国网东北分部绿源公司太平湾发电厂长站1号2号机变组保护更换-安装工程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国网东北分部绿源公司太平湾发电厂长站1号2号机变组保护更换-安装工程</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20260301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14.19</w:t>
            </w:r>
          </w:p>
        </w:tc>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3004246871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国网东北分部绿源公司太平湾发电厂工业电视关键部位视频改造-安装工程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国网东北分部绿源公司太平湾发电厂工业电视关键部位视频改造-安装工程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国网东北分部绿源公司太平湾发电厂工业电视关键部位视频改造-安装工程</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20260228</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9.7</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392552-9004002-1602</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水电工程施工绿源生技处施工项目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3004246863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国网东北分部绿源水力发电公司云峰发电厂望江楼站溢流闸门启闭机室建设-施工</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国网东北分部绿源水力发电公司云峰发电厂望江楼站溢流闸门启闭机室建设-施工</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国网东北分部绿源水力发电公司云峰发电厂望江楼站溢流闸门启闭机室建设-施工</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水电管理部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167</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3004246865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国网东北分部绿源公司云峰发电厂望江楼站2号变压器A级检修-施工</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国网东北分部绿源公司云峰发电厂望江楼站2号变压器A级检修-施工</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国网东北分部绿源公司云峰发电厂望江楼站2号变压器A级检修-施工</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水电管理部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24.7</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24.7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3004246872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国网东北分部绿源公司太平湾发电厂长站五防系统增容改造-安装工程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国网东北分部绿源公司太平湾发电厂长站五防系统增容改造-安装工程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国网东北分部绿源公司太平湾发电厂长站五防系统增容改造-安装工程</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东北发展〔2025〕16号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2.68</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3004246873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国网东北分部绿源公司太平湾发电厂长站2号机组调速器改造-拆除安装</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国网东北分部绿源公司太平湾发电厂长站2号机组调速器改造-拆除安装</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国网东北分部绿源公司太平湾发电厂长站2号机组调速器改造-拆除安装</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20260301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20260430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5.73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5.73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392552-9005005-1602</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水电生产辅助服务绿源生技处施工项目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3004246884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国网东北分部绿源公司太平湾发电厂长站2号机变组B级检修-防腐工程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国网东北分部绿源公司太平湾发电厂长站2号机变组B级检修-防腐工程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国网东北分部绿源公司太平湾发电厂长站2号机变组B级检修-防腐工程</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20260301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20260430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25.7</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392552-9013001-1104</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房屋维修后勤中心监理项目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3004246856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国网东北分部绿源水力发电公司云峰发电厂2026年（成本）监理服务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国网东北分部绿源水力发电公司云峰发电厂2026年（成本）监理服务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国网东北分部绿源水力发电公司云峰发电厂2026年（成本）监理服务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392552-9004003-1604</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水电工程监理绿源生技处监理项目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3004246864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国网东北分部绿源水力发电公司云峰发电厂望江楼站溢流闸门启闭机室建设-监理</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国网东北分部绿源水力发电公司云峰发电厂望江楼站溢流闸门启闭机室建设-监理</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国网东北分部绿源水力发电公司云峰发电厂望江楼站溢流闸门启闭机室建设-监理</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水电管理部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15.2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15.2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392552-9012020-0261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中介服务财务服务项目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3004246948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国网东北分部绿源水力发电公司检修公司2025年废旧物资评估服务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国网东北分部绿源水力发电公司检修公司2025年废旧物资评估服务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国网东北分部绿源水力发电公司检修公司2025年废旧物资评估服务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财务部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绿源公司〔2025〕1号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0.5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3004246950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国网东北分部财务部2026年输配电价测算分析和经营策略优化服务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国网东北分部财务部2026年输配电价测算分析和经营策略优化服务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国网东北分部财务部2026年输配电价测算分析和经营策略优化服务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财务资产部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3004246951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国网东北分部财务部2026年纳税申报与咨询服务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国网东北分部财务部2026年纳税申报与咨询服务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国网东北分部财务部2026年纳税申报与咨询服务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财务资产部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392552-9012021-0361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咨询服务电网中心服务项目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3004246843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新型电力系统下东北电网最大不平衡功率及常规电源最小开机容量研究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新型电力系统下东北电网最大不平衡功率及常规电源最小开机容量研究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新型电力系统下东北电网最大不平衡功率及常规电源最小开机容量研究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电网技术支持中心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20261130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3004246844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考虑赤津直流投产后东北地区新能源与储能协同运行的赤峰电网动态稳定问题研究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考虑赤津直流投产后东北地区新能源与储能协同运行的赤峰电网动态稳定问题研究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研究赤津直流投产后的东北电网动态稳定特性，并分析新能源和储能规划和运行策略对其影响</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电网技术支持中心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20260731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3004246845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适应新型电力系统构建的东北未来煤电发展路径及功能定位研究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适应新型电力系统构建的东北未来煤电发展路径及功能定位研究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适应新型电力系统构建的东北未来煤电发展路径及功能定位研究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电网技术支持中心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3004246846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新能源入市背景下的东北火电机组支撑调节能力提升及市场机制研究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新能源入市背景下的东北火电机组支撑调节能力提升及市场机制研究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新能源入市背景下的东北火电机组支撑调节能力提升及市场机制研究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电网技术支持中心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3004246847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东北电网抽蓄及新型储能的成本疏导机制与参与电力市场机制研究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东北电网抽蓄及新型储能的成本疏导机制与参与电力市场机制研究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东北电网抽蓄及新型储能的成本疏导机制与参与电力市场机制研究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电网技术支持中心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392552-9010004-0461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业务运营服务安监服务项目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3004246879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国网东北分部绿源公司太平湾发电厂2026年度网络安全隐患排查治理</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国网东北分部绿源公司太平湾发电厂2026年度网络安全隐患排查治理</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国网东北分部绿源公司太平湾发电厂2026年度网络安全隐患排查治理</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安全监察部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21.2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3004246880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国网东北分部绿源公司太平湾发电厂2025年IPv6网络部署技术支持服务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国网东北分部绿源公司太平湾发电厂2025年IPv6网络部署技术支持服务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国网东北分部绿源公司太平湾发电厂2025年IPv6网络部署技术支持服务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安全监察部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20251215</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8.48</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8.48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392552-9010005-0461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数字化运维安监服务项目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3004246946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国网东北分部绿源公司检修公司2026年网络安全及IPv6规模部署技术支持服务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国网东北分部绿源公司检修公司2026年网络安全及IPv6规模部署技术支持服务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国网东北分部绿源公司检修公司2026年网络安全及IPv6规模部署技术支持服务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安监部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6.36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6.36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392552-9011006-0461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消防服务安监服务项目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3004246861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国网东北分部绿源水力发电公司云峰发电厂2026年消防设备设施维护保养服务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国网东北分部绿源水力发电公司云峰发电厂2026年消防设备设施维护保养服务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国网东北分部绿源水力发电公司云峰发电厂2026年消防设备设施维护保养服务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安全监察部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3004246890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国网东北分部绿源水力发电公司太平湾发电厂2026年非生产区域消防维保服务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国网东北分部绿源水力发电公司太平湾发电厂2026年非生产区域消防维保服务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国网东北分部绿源水力发电公司太平湾发电厂2026年非生产区域消防维保服务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安全监察部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392552-9012005-0461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环境检测安监服务项目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3004246860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国网东北分部绿源公司云峰发电厂2026年劳动作业环境及职业健康环境检测服务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国网东北分部绿源公司云峰发电厂2026年劳动作业环境及职业健康环境检测服务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国网东北分部绿源公司云峰发电厂2026年劳动作业环境及职业健康环境检测服务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安全监察部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392552-9012021-0461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咨询服务安监服务项目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3004246859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国网东北分部绿源公司云峰发电厂2026年安全管理咨询及应急预案评审服务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国网东北分部绿源公司云峰发电厂2026年安全管理咨询及应急预案评审服务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国网东北分部绿源公司云峰发电厂2026年安全管理咨询及应急预案评审服务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安全监察部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392552-9013004-0461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非电网设备维保安监服务项目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3004246877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国网东北分部绿源公司太平湾发电厂2026年度反恐防范系统维保服务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国网东北分部绿源公司太平湾发电厂2026年度反恐防范系统维保服务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国网东北分部绿源公司太平湾发电厂2026年度反恐防范系统维保服务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安全监察部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37.1</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37.1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392552-9013005-0461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特种设备维保安监服务项目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3004246862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国网东北分部绿源水力发电公司云峰发电厂2026年电梯维护保养服务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国网东北分部绿源水力发电公司云峰发电厂2026年电梯维护保养服务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国网东北分部绿源水力发电公司云峰发电厂2026年电梯维护保养服务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安全监察部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392552-9001003-0561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电网工程施工监理调控服务项目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3004246932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国网东北分部调度交换系统改造工程-项目监理</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国网东北分部调度交换系统改造工程-项目监理</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本工程新增调度程控交换机34套，网管系统2套，10G传输设备1套。</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20260401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东北发展〔2025〕16号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5.0713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5.0713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392552-9010002-0561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信息系统开发实施调控服务项目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3004246891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国网东北分部调度控制中心直调电厂煤电容量电价最大出力认定及考核技术支持系统建设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国网东北分部调度控制中心直调电厂煤电容量电价最大出力认定及考核技术支持系统建设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国网东北分部调度控制中心直调电厂煤电容量电价最大出力认定及考核技术支持系统建设</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176.2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176.2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3004246892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国网东北分部调度控制中心调度运行网络化指挥平台建设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国网东北分部调度控制中心调度运行网络化指挥平台建设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国网东北分部调度控制中心调度运行网络化指挥平台建设</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249.54</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249.54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3004246893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国网东北分部调度控制中心基于数据平台的电网运行及外部环境关键信息全景监视系统建设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国网东北分部调度控制中心基于数据平台的电网运行及外部环境关键信息全景监视系统建设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国网东北分部调度控制中心基于数据平台的电网运行及外部环境关键信息全景监视系统建设</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289.2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289.2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3004246894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国网东北分部调度控制中心水电计划编制多目标优化功能建设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国网东北分部调度控制中心水电计划编制多目标优化功能建设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国网东北分部调度控制中心水电计划编制多目标优化功能建设</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149.4</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3004246895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国网东北分部调度控制中心适应电力现货市场的跨省电力电量交换技术支持平台功能完善</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国网东北分部调度控制中心适应电力现货市场的跨省电力电量交换技术支持平台功能完善</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国网东北分部调度控制中心适应电力现货市场的跨省电力电量交换技术支持平台功能完善</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149.4</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149.4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3004246896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国网东北分部调度控制中心电网第三道防线在线监视及自动研判系统建设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国网东北分部调度控制中心电网第三道防线在线监视及自动研判系统建设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国网东北分部调度控制中心电网第三道防线在线监视及自动研判系统建设</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81.8005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81.8005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3004246919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国网东北分部调度控制中心适应新能源高比例区域电网功率协调管理功能升级</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国网东北分部调度控制中心适应新能源高比例区域电网功率协调管理功能升级</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国网东北分部调度控制中心适应新能源高比例区域电网功率协调管理功能升级</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169.25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169.25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3004246920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国网东北分部调度控制中心WAMS系统实用性功能改造</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国网东北分部调度控制中心WAMS系统实用性功能改造</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国网东北分部调度控制中心WAMS系统实用性功能改造</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174.35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174.35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3004246921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国网东北分部调度控制中心调度管理SOP软件改造</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国网东北分部调度控制中心调度管理SOP软件改造</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国网东北分部调度控制中心调度管理SOP软件改造</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189.6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189.6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3004246922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国网东北分部调度控制中心电网异常状态智能监测与诊断可视化功能建设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国网东北分部调度控制中心电网异常状态智能监测与诊断可视化功能建设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国网东北分部调度控制中心电网异常状态智能监测与诊断可视化功能建设</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359.5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359.5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3004246935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国网东北分部调度控制中心电网风险排查整治管理系统建设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国网东北分部调度控制中心电网风险排查整治管理系统建设</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国网东北分部调度控制中心电网风险排查整治管理系统建设</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89.3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89.3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392552-9012013-0561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设备安装调试调控服务项目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3004144208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国网东北分部调度控制中心东北区域备用辅助服务市场调度支撑系统建设-安装调试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国网东北分部调度控制中心东北区域备用辅助服务市场调度支撑系统建设-安装调试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国网东北分部调度控制中心东北区域备用辅助服务市场调度支撑系统建设-安装调试</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东北发展〔2025〕16号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3.0405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3.0405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3004148222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国网东北分部调度控制中心安全I区核心交换业务系统改造-安装调试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国网东北分部调度控制中心安全I区核心交换业务系统改造-安装调试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国网东北分部调度控制中心安全I区核心交换业务系统改造</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20251220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东北发展〔2024〕159号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1.27</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3004246914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国网东北分部调度控制中心500kV及220kV变电站电量采集终端更换-安装调试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国网东北分部调度控制中心500kV及220kV变电站电量采集终端更换-安装调试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国网东北分部调度控制中心500kV及220kV变电站电量采集终端更换</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20251220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东北发展〔2025〕148号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49.2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3004246915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国网东北分部调度控制中心Ⅲ区虚拟服务器系统扩容-安装调试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国网东北分部调度控制中心Ⅲ区虚拟服务器系统扩容-安装调试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国网东北分部调度控制中心Ⅲ区虚拟服务器系统扩容</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3.78</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3.78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3004246916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国网东北分部调度控制中心调度大厅值班终端改造-安装调试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国网东北分部调度控制中心调度大厅值班终端改造-安装调试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国网东北分部调度控制中心调度大厅值班终端改造</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3004246917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国网东北分部调度控制中心东北水电防汛指挥中心网络交换系统改造-安装调试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国网东北分部调度控制中心东北水电防汛指挥中心网络交换系统改造-安装调试</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国网东北分部调度控制中心东北水电防汛指挥中心网络交换系统改造</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392552-9013007-0561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系统运维调控服务项目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3004246897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2026年上半年调控中心SCADA系统、网络安全平台、调度仿真系统运维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2026年上半年调控中心SCADA系统、网络安全平台、调度仿真系统运维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2026年上半年调控中心SCADA系统、网络安全平台、调度仿真系统运维</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191.33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191.33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3004246898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2026年上半年调控中心调度管理类应用系统及准实时系统运维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2026年上半年调控中心调度管理类应用系统及准实时系统运维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2026年上半年调控中心调度管理类应用系统及准实时系统运维</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222.6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222.6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3004246899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2026年调控中心辅助服务市场系统运维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2026年调控中心辅助服务市场系统运维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2026年调控中心辅助服务市场系统运维</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42.4</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3004246900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2026年上半年调控中心D5000高级应用、预测系统及在线分析系统运维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2026年上半年调控中心D5000高级应用、预测系统及在线分析系统运维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2026年上半年调控中心D5000高级应用、预测系统及在线分析系统运维</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74.2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74.2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3004246901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2026年调控中心WAMS、二次设备在线监视与分析系统保信主站运维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2026年调控中心WAMS、二次设备在线监视与分析系统保信主站运维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2026年调控中心WAMS、二次设备在线监视与分析系统保信主站运维</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102.82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102.82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3004246902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2026年调控中心国分调控云客户端运维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2026年调控中心国分调控云客户端运维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2026年调控中心国分调控云客户端运维</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43.46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43.46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3004246903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2026年调控中心智能电网调度技术支持系统水电监测与调度模块运维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2026年调控中心智能电网调度技术支持系统水电监测与调度模块运维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2026年调控中心智能电网调度技术支持系统水电监测与调度模块运维</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19.08</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19.08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3004246904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2026年调控中心行波故障测距系统运维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2026年调控中心行波故障测距系统运维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2026年调控中心行波故障测距系统运维</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11.66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11.66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3004246905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2026年调控中心二次设备在线监视与分析系统录波主站及保护故障信息系统运维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2026年调控中心二次设备在线监视与分析系统录波主站及保护故障信息系统运维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2026年调控中心二次设备在线监视与分析系统录波主站及保护故障信息系统运维</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47.7</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47.7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3004246906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2026年调控中心安全监督平台系统运维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2026年调控中心安全监督平台系统运维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2026年调控中心安全监督平台系统运维</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9.54</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9.54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3004246907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2026年调控中心电力市场安全校核系统运维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2026年调控中心电力市场安全校核系统运维</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2026年调控中心电力市场安全校核系统运维</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26.5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3004246908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2026年调控中心达梦数据库维保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2026年调控中心达梦数据库维保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2026年调控中心达梦数据库维保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21.2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3004246909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2026年调控中心自动化UPS系统维保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2026年调控中心自动化UPS系统维保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2026年调控中心自动化UPS系统维保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42.4</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3004246910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2026年调控中心自动化机房监控系统、烟雾极早期系统及虚拟化服务器维保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2026年调控中心自动化机房监控系统、烟雾极早期系统及虚拟化服务器维保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2026年调控中心自动化机房监控系统、烟雾极早期系统及虚拟化服务器维保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103.88</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103.88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3004246911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2026年上半年调控中心主站局域网、调度数据网及计算资源硬件维保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2026年上半年调控中心主站局域网、调度数据网及计算资源硬件维保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2026年上半年调控中心主站局域网、调度数据网及计算资源硬件维保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84.8</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84.8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3004246912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2026年调控中心调度大厅大屏幕系统维保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2026年调控中心调度大厅大屏幕系统维保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2026年调控中心调度大厅大屏幕系统维保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63.6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63.6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3004246913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2026年调度监控系统反恶意代码系统特征库维保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2026年调度监控系统反恶意代码系统特征库维保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2026年调度监控系统反恶意代码系统特征库维保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31.8</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31.8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3004246923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2026年上半年东北分部调度控制中心监控等辅助系统运行维护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2026年上半年东北分部调度控制中心监控等辅助系统运行维护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2026年上半年东北分部调度控制中心监控等辅助系统运行维护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140.45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140.45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3004246924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2026年上半年东北分部调度控制中心调度交换及生产相关通信系统运行维护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2026年上半年东北分部调度控制中心调度交换及生产相关通信系统运行维护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2026年上半年东北分部调度控制中心调度交换及生产相关通信系统运行维护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66.25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66.25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3004246925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2026年上半年东北分部调度控制中心通信基础设施运行维护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2026年上半年东北分部调度控制中心通信基础设施运行维护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2026年上半年东北分部调度控制中心通信基础设施运行维护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60.95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60.95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3004246926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2026年上半年东北分部调度控制中心华为通信设备运行维护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2026年上半年东北分部调度控制中心华为通信设备运行维护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2026年上半年东北分部调度控制中心华为通信设备运行维护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68.9</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68.9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3004246927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2026年上半年东北分部调度控制中心中兴通信设备运行维护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2026年上半年东北分部调度控制中心中兴通信设备运行维护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2026年上半年东北分部调度控制中心中兴通信设备运行维护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58.3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3004246928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2026年上半年东北分部调度控制中心系统保护专用通信系统运行维护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2026年上半年东北分部调度控制中心系统保护专用通信系统运行维护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2026年上半年东北分部调度控制中心系统保护专用通信系统运行维护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68.9</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68.9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3004246929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2026年上半年东北分部调度控制中心视频会议及有线电视系统运行维护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2026年上半年东北分部调度控制中心视频会议及有线电视系统运行维护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2026年上半年东北分部调度控制中心视频会议及有线电视系统运行维护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270.3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270.3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3004246930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2026年东北分部调度控制中心光路子系统及相关系统运行维护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2026年东北分部调度控制中心光路子系统及相关系统运行维护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2026年东北分部调度控制中心光路子系统及相关系统运行维护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3004246931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2026年东北分部调度控制中心ECI通信设备运行维护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2026年东北分部调度控制中心ECI通信设备运行维护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2026年东北分部调度控制中心ECI通信设备运行维护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调度控制中心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63.6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63.6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392552-9012006-0861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技术服务办公室服务项目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3004246976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国网东北分部2026年上半年档案整理与服务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国网东北分部2026年上半年档案整理与服务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国网东北分部2026年上半年档案整理与服务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办公室秘书处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34.98</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34.98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392552-9012020-0861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中介服务办公室服务项目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3004246848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国网东北分部绿源水力发电公司云峰发电厂2026年聘请常年法律顾问</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国网东北分部绿源水力发电公司云峰发电厂2026年聘请常年法律顾问</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国网东北分部绿源水力发电公司云峰发电厂2026年聘请常年法律顾问</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办公室（党委办公室）</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3004246947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国网东北分部绿源水力发电公司检修公司2026年常年法律顾问服务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国网东北分部绿源水力发电公司检修公司2026年常年法律顾问服务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国网东北分部绿源水力发电公司检修公司2026年常年法律顾问服务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办公室</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392552-9010001-0961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数字化咨询设计生产部服务项目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3004246973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国网东北分部2026年数字化项目可行性研究报告及限下信息运维服务计划评审服务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国网东北分部2026年数字化项目可行性研究报告及限下信息运维服务计划评审服务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国网东北分部2026年数字化项目可行性研究报告及限下信息运维服务计划评审服务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生产技术部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37.1</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37.1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3004246974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国网东北分部2026年数字化项目可行性研究报告编制服务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国网东北分部2026年数字化项目可行性研究报告编制服务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国网东北分部2026年数字化项目可行性研究报告编制服务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生产技术部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392552-9012008-0961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科技项目生产部服务项目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3004203638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国网东北分部绿源水力发电公司云峰发电厂模块化数字安全帽研发</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国网东北分部绿源水力发电公司云峰发电厂模块化数字安全帽研发</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国网东北分部绿源水力发电公司云峰发电厂模块化数字安全帽研发</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生产技术部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20251215</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东北发展〔2025〕147号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29</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392552-9013004-0961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非电网设备维保生产部服务项目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3004246969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国网东北分部2026年上半年硬件设备及基础设施运行维护和维保服务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国网东北分部2026年上半年硬件设备及基础设施运行维护和维保服务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国网东北分部2026年上半年硬件设备及基础设施运行维护和维保服务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生产技术部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275.6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275.6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392552-9013007-0961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系统运维生产部服务项目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3004246970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国网东北分部2026年上半年基础平台和基础应用系统运行维护和技术支持服务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国网东北分部2026年上半年基础平台和基础应用系统运行维护和技术支持服务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国网东北分部2026年上半年基础平台和基础应用系统运行维护和技术支持服务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生产技术部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487.6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487.6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3004246971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国网东北分部2026年上半年企业中台运行维护和技术支持服务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国网东北分部2026年上半年企业中台运行维护和技术支持服务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国网东北分部2026年上半年企业中台运行维护和技术支持服务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生产技术部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185.5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185.5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3004246972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国网东北分部2026年上半年业务信息系统运行维护和技术支持服务等2项工程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国网东北分部2026年上半年业务信息系统运行维护和技术支持服务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国网东北分部2026年上半年业务信息系统运行维护和技术支持服务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生产技术部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720.8</w:t>
            </w:r>
          </w:p>
        </w:tc>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869.2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3004246975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国网东北分部绿源水力发电公司2026年上半年业务信息系统运行维护和技术支持服务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国网东北分部绿源水力发电公司2026年上半年业务信息系统运行维护和技术支持服务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生产技术部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148.4</w:t>
            </w:r>
          </w:p>
        </w:tc>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392552-9011002-1161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车辆服务后勤中心服务项目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3004246954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东北分部本部2026年度车辆维修及轮胎更换服务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东北分部本部2026年度车辆维修及轮胎更换服务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东北分部本部2026年度车辆维修及轮胎更换服务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3004246955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东北分部本部2026年度车辆保养及维修服务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东北分部本部2026年度车辆保养及维修服务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东北分部本部2026年度车辆保养及维修服务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392552-9011006-1161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消防服务后勤中心服务项目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3004144217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2025年后勤管理中心消防检测服务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2025年后勤管理中心消防检测服务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2025年后勤管理中心消防检测服务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20251215</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东北财〔2025〕40号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3004246956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2026年本部办公楼消防系统维保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2026年本部办公楼消防系统维保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2026年本部办公楼消防系统维保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392552-9012003-1161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电力设施保护后勤中心服务项目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3004246885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太平湾发电厂2026年第一次反恐防范系统日常运行巡检服务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太平湾发电厂2026年第一次反恐防范系统日常运行巡检服务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太平湾发电厂2026年第一次反恐防范系统日常运行巡检服务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41</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3004246852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云峰发电厂2026年（第1次）电力设施看护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云峰发电厂2026年（第1次）电力设施看护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云峰发电厂2026年（第1次）电力设施看护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392552-9012006-1161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技术服务后勤中心服务项目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3004246857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国网东北分部绿源水力发电公司云峰发电厂房屋产权办理测绘、评估服务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国网东北分部绿源水力发电公司云峰发电厂房屋产权办理测绘、评估服务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国网东北分部绿源水力发电公司云峰发电厂房屋产权办理测绘、评估服务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20251215</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392552-9012015-1161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设备检测试验后勤中心服务项目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3004144216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2025年后勤管理中心中央空调管道清洁检测服务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2025年后勤管理中心中央空调管道清洁检测服务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2025年后勤管理中心中央空调管道清洁检测服务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20251215</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东北财〔2025〕40号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392552-9012020-1161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中介服务后勤中心服务项目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3004246957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2026年后勤管理中心财务专项服务咨询</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2026年后勤管理中心财务专项服务咨询</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2026年后勤管理中心财务专项服务咨询</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392552-9013001-1161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房屋维修后勤中心服务项目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3004246855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国网东北分部绿源水力发电公司云峰发电厂2026年（成本）结算审核服务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国网东北分部绿源水力发电公司云峰发电厂2026年（成本）结算审核服务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国网东北分部绿源水力发电公司云峰发电厂2026年（成本）结算审核服务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392552-9013003-1161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后勤服务后勤中心服务项目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3004246886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国网东北分部绿源水力发电公司太平湾发电厂2026年第一次绿化维护服务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国网东北分部绿源水力发电公司太平湾发电厂2026年第一次绿化维护服务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国网东北分部绿源水力发电公司太平湾发电厂2026年第一次绿化维护服务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3004246887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国网东北分部绿源水力发电公司太平湾发电厂丹东地区2026年第一次物业管理服务等3项工程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国网东北分部绿源水力发电公司太平湾发电厂丹东地区2026年第一次物业管理服务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国网东北分部绿源水力发电公司太平湾发电厂丹东地区2026年第一次物业管理服务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130.5</w:t>
            </w:r>
          </w:p>
        </w:tc>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408.3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3004246888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国网东北分部绿源水力发电公司太平湾发电厂太平湾厂区2026年第一次物业管理服务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国网东北分部绿源水力发电公司太平湾发电厂太平湾厂区2026年第一次物业管理服务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147.8</w:t>
            </w:r>
          </w:p>
        </w:tc>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3004246889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国网东北分部绿源水力发电公司太平湾发电厂长甸厂区2026年第一次物业管理服务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国网东北分部绿源水力发电公司太平湾发电厂长甸厂区2026年第一次物业管理服务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130</w:t>
            </w:r>
          </w:p>
        </w:tc>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3004246949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国网东北分部绿源水力发电公司检修公司2026年第一次物业服务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国网东北分部绿源水力发电公司检修公司2026年第一次物业服务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国网东北分部绿源水力发电公司检修公司2026年第一次物业服务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3004246952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11</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2025年后勤管理中心绿植服务2</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2025年后勤管理中心绿植服务2</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2025年后勤管理中心绿植服务2</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20251215</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东北财〔2025〕40号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3004246849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国网东北分部绿源水力发电公司云峰发电厂2026年集安区域（第1次）物业服务等2项工程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国网东北分部绿源水力发电公司云峰发电厂2026年集安区域（第1次）物业服务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国网东北分部绿源水力发电公司云峰发电厂2026年集安区域（第1次）物业服务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20260531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50.46</w:t>
            </w:r>
          </w:p>
        </w:tc>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228.854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3004246850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国网东北分部绿源水力发电公司云峰发电厂2026年青石区域（第1次）物业服务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国网东北分部绿源水力发电公司云峰发电厂2026年青石区域（第1次）物业服务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20260531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178.394</w:t>
            </w:r>
          </w:p>
        </w:tc>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3004246851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国网东北分部绿源水力发电公司云峰发电厂2026年（第1次）绿化养护服务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国网东北分部绿源水力发电公司云峰发电厂2026年（第1次）绿化养护服务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国网东北分部绿源水力发电公司云峰发电厂2026年（第1次）绿化养护服务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20260531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49.976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49.976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3004246854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云峰发电厂2026年（第1次）集安垃圾清运</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云峰发电厂2026年（第1次）集安垃圾清运</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云峰发电厂2026年（第1次）集安垃圾清运</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4.4</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3004246853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云峰发电厂2026年（第1次）青石垃圾清运</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云峰发电厂2026年（第1次）青石垃圾清运</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云峰发电厂2026年（第1次）青石垃圾清运</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392552-9013004-1161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非电网设备维保后勤中心服务项目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3004246953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2025年后勤管理中心机房气体灭火设备更换服务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2025年后勤管理中心机房气体灭火设备更换服务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2025年后勤管理中心机房气体灭火设备更换服务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20251215</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东北财〔2025〕40号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3004246960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2026年本部办公楼弱电系统维保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2026年本部办公楼弱电系统维保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2026年本部办公楼弱电系统维保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3004246961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2026年本部办公楼机房精密空调系统维保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2026年本部办公楼机房精密空调系统维保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2026年本部办公楼机房精密空调系统维保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69</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3004246962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2026年本部办公楼工业门系统维保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2026年本部办公楼工业门系统维保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2026年本部办公楼工业门系统维保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3004246963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2026年本部调度楼中央空调系统维保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2026年本部调度楼中央空调系统维保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2026年本部调度楼中央空调系统维保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3004246964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2026年本部调度楼自动门系统人行自动门维保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2026年本部调度楼自动门系统人行自动门维保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2026年本部调度楼自动门系统人行自动门维保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3004246965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2026年本部调度楼冷水和热泵机组维保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2026年本部调度楼冷水和热泵机组维保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2026年本部调度楼冷水和热泵机组维保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11.5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3004246966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2026年本部办公楼水源热泵系统维保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2026年本部办公楼水源热泵系统维保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2026年本部办公楼水源热泵系统维保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392552-9013005-1161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特种设备维保后勤中心服务项目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3004246959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2026年本部办公楼电梯系统维保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2026年本部办公楼电梯系统维保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2026年本部办公楼电梯系统维保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392552-9013006-1161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委托运行维护服务后勤中心服务项目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3004246967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2026年本部调度楼变电所设备维保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2026年本部调度楼变电所设备维保</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2026年本部调度楼变电所设备维保</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11</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3004246968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2026年本部调度楼变电所监控及运行服务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2026年本部调度楼变电所监控及运行服务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2026年本部调度楼变电所监控及运行服务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后勤管理中心</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67</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392552-9001005-1361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电网工程咨询服务发展部服务项目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3004246936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平安500kV变电站二期扩建工程水土保持设施验收相关专题服务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平安500kV变电站二期扩建工程水土保持设施验收相关专题服务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500kV扩建750MVA的变压器；新增1台断路器；66kV新建1组60Mvar并联电抗器及1台1000kVA站用变压器</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发展规划部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发展签〔2025〕6号</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50.2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392552-9012021-1361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咨询服务发展部服务项目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3004246937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东北新型电力系统体系构建及实施路径研究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东北新型电力系统体系构建及实施路径研究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进行东北新型电力系统体系构建及实施路径研究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发展规划部规划研究处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20261031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130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3004246938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东北新能源高质量发展研究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东北新能源高质量发展研究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进行东北新能源高质量发展研究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发展规划部规划研究处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20261031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3004246939</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适应东北新型电网电力流格局变化的重点地区网架适应性研究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适应东北新型电网电力流格局变化的重点地区网架适应性研究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进行适应东北新型电网电力流格局变化的重点地区网架适应性研究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发展规划部规划研究处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20261031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155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155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3004246940</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“十五五”中后期东北电网主要输电通道输电能力研究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“十五五”中后期东北电网主要输电通道输电能力研究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进行“十五五”中后期东北电网主要输电通道输电能力研究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发展规划部规划研究处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20261031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159.42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159.42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3004246941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“十五五”期间东北电网分钟级爬坡调节能力精准评价及提升措施研究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“十五五”期间东北电网分钟级爬坡调节能力精准评价及提升措施研究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进行“十五五”期间东北电网分钟级爬坡调节能力精准评价及提升措施研究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发展规划部规划研究处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20261031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3004246942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“十五五”期间东北电网频率稳定风险评估及补强措施研究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“十五五”期间东北电网频率稳定风险评估及补强措施研究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进行“十五五”期间东北电网频率稳定风险评估及补强措施研究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发展规划部规划研究处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20261031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3004246943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“十五五”期间东北新能源大基地电压稳定风险分析及提升措施研究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“十五五”期间东北新能源大基地电压稳定风险分析及提升措施研究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进行“十五五”期间东北新能源大基地电压稳定风险分析及提升措施研究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发展规划部规划研究处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20261031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3004246944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东北分部碳管理创新机制及碳市场支撑东北抽蓄可持续发展路径研究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东北分部碳管理创新机制及碳市场支撑东北抽蓄可持续发展路径研究</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进行东北分部碳管理创新机制及碳市场支撑东北抽蓄可持续发展路径研究</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发展规划部计划统计处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20251230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20261031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党委会〔2025〕17期3</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392552-9005001-1661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水电机组技改检修运维绿源生技处服务</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3004246866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国网东北分部绿源公司云峰发电厂望江楼站2号变压器A级检修-特殊试验</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国网东北分部绿源公司云峰发电厂望江楼站2号变压器A级检修-特殊试验</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国网东北分部绿源公司云峰发电厂望江楼站2号变压器A级检修-特殊试验</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水电管理部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9.5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3004246868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国网东北分部绿源公司云峰发电厂望江楼站4号机组A级检修-机组修后试验</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国网东北分部绿源公司云峰发电厂望江楼站4号机组A级检修-机组修后试验</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国网东北分部绿源公司云峰发电厂望江楼站4号机组A级检修-机组修后试验</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水电管理部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58</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3004246874</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国网东北分部绿源公司太平湾发电厂长站2号机变组B级检修-修后试验</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国网东北分部绿源公司太平湾发电厂长站2号机变组B级检修-修后试验</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国网东北分部绿源公司太平湾发电厂长站2号机变组B级检修-修后试验</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20260301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20260430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392552-9005002-1661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水电公用系统技改检修绿源生技处服务</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3004246882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国网东北分部绿源公司太平湾发电厂2026年度计算机监控系统运维技术服务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国网东北分部绿源公司太平湾发电厂2026年度计算机监控系统运维技术服务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国网东北分部绿源公司太平湾发电厂2026年度计算机监控系统运维技术服务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21.2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392552-9005004-1661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水工设备设施技改检修绿源生技处服务</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3004246883</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国网东北分部绿源公司太平湾发电厂2026年度大坝安全在线监控系统维护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国网东北分部绿源公司太平湾发电厂2026年度大坝安全在线监控系统维护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国网东北分部绿源公司太平湾发电厂2026年度大坝安全在线监控系统维护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21.2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392552-9010005-1661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数字化运维绿源生技处服务项目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3004246945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国网东北分部绿源水力发电公司检修公司2026年第一次信息系统维保服务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国网东北分部绿源水力发电公司检修公司2026年第一次信息系统维保服务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国网东北分部绿源水力发电公司检修公司2026年第一次信息系统维保服务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22</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392552-9011006-1661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消防服务绿源生技处服务项目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3004246878</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太平湾发电厂2026年上半年消防系统日常运行巡检服务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太平湾发电厂2026年上半年消防系统日常运行巡检服务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太平湾发电厂2026年上半年消防系统日常运行巡检服务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392552-9012006-1661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技术服务绿源生技处服务项目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3004246875</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太平湾发电厂2026年度技术监督服务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太平湾发电厂2026年度技术监督服务</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太平湾发电厂2026年度技术监督服务</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54</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54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392552-9012015-1661</w:t>
            </w:r>
          </w:p>
        </w:tc>
        <w:tc>
          <w:tcPr>
            <w:tcW w:w="890" w:type="dxa"/>
            <w:vMerge w:val="restart"/>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设备检测试验绿源生技处服务项目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3004246867</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国网东北分部绿源公司云峰发电厂望江楼站4号机组A级检修-无损检测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国网东北分部绿源公司云峰发电厂望江楼站4号机组A级检修-无损检测</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国网东北分部绿源公司云峰发电厂望江楼站4号机组A级检修-无损检测</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水电管理部</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20260110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20260630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40</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890" w:type="dxa"/>
            <w:vMerge w:val="continue"/>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rPr>
                <w:rFonts w:hint="default" w:ascii="宋 体" w:hAnsi="宋 体" w:eastAsia="宋 体"/>
                <w:sz w:val="18"/>
                <w:szCs w:val="24"/>
              </w:rPr>
            </w:pP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3004246876</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国网东北分部绿源公司太平湾发电厂长站2号机变组B级检修-金属探伤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国网东北分部绿源公司太平湾发电厂长站2号机变组B级检修-金属探伤</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国网东北分部绿源公司太平湾发电厂长站2号机变组B级检修-金属探伤</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20260301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20260430</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lang w:eastAsia="zh-CN"/>
              </w:rPr>
            </w:pPr>
            <w:r>
              <w:rPr>
                <w:rFonts w:hint="default" w:ascii="宋 体" w:hAnsi="宋 体" w:eastAsia="宋 体"/>
                <w:sz w:val="18"/>
                <w:szCs w:val="24"/>
                <w:lang w:eastAsia="zh-CN"/>
              </w:rPr>
              <w:t>签报</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23.45</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23.45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392552-9013007-1661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系统运维绿源生技处服务项目</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3004246881</w:t>
            </w:r>
          </w:p>
        </w:tc>
        <w:tc>
          <w:tcPr>
            <w:tcW w:w="593"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10</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国网东北分部绿源公司太平湾发电厂2026年度网络机房附属设施维护保养及特征库升级</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国网东北分部绿源公司太平湾发电厂2026年度网络机房附属设施维护保养及特征库升级</w:t>
            </w:r>
          </w:p>
        </w:tc>
        <w:tc>
          <w:tcPr>
            <w:tcW w:w="1929"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国网东北分部绿源公司太平湾发电厂2026年度网络机房附属设施维护保养及特征库升级</w:t>
            </w:r>
          </w:p>
        </w:tc>
        <w:tc>
          <w:tcPr>
            <w:tcW w:w="1484"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绿源生产处</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20260101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20261231</w:t>
            </w:r>
          </w:p>
        </w:tc>
        <w:tc>
          <w:tcPr>
            <w:tcW w:w="890"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成本预算类项目采购会签单</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27.56</w:t>
            </w:r>
          </w:p>
        </w:tc>
        <w:tc>
          <w:tcPr>
            <w:tcW w:w="742" w:type="dxa"/>
            <w:tcBorders>
              <w:top w:val="single" w:color="000000" w:sz="4" w:space="0"/>
              <w:left w:val="single" w:color="000000" w:sz="4" w:space="0"/>
              <w:bottom w:val="single" w:color="000000" w:sz="4" w:space="0"/>
              <w:right w:val="single" w:color="000000" w:sz="4" w:space="0"/>
              <w:tl2br w:val="nil"/>
              <w:tr2bl w:val="nil"/>
            </w:tcBorders>
            <w:shd w:val="clear" w:color="auto" w:fill="FFFFFF"/>
            <w:noWrap w:val="0"/>
            <w:vAlign w:val="center"/>
          </w:tcPr>
          <w:p>
            <w:pPr>
              <w:spacing w:beforeLines="0" w:afterLines="0"/>
              <w:jc w:val="center"/>
              <w:rPr>
                <w:rFonts w:hint="default" w:ascii="宋 体" w:hAnsi="宋 体" w:eastAsia="宋 体"/>
                <w:sz w:val="18"/>
                <w:szCs w:val="24"/>
              </w:rPr>
            </w:pPr>
            <w:r>
              <w:rPr>
                <w:rFonts w:hint="default" w:ascii="宋 体" w:hAnsi="宋 体" w:eastAsia="宋 体"/>
                <w:sz w:val="18"/>
                <w:szCs w:val="24"/>
              </w:rPr>
              <w:t>27.56</w:t>
            </w:r>
          </w:p>
        </w:tc>
      </w:tr>
    </w:tbl>
    <w:p>
      <w:pPr>
        <w:spacing w:beforeLines="0" w:afterLines="0"/>
        <w:rPr>
          <w:rFonts w:hint="default"/>
          <w:sz w:val="24"/>
          <w:szCs w:val="24"/>
        </w:rPr>
      </w:pPr>
    </w:p>
    <w:p>
      <w:pPr>
        <w:pStyle w:val="20"/>
        <w:shd w:val="clear"/>
        <w:spacing w:line="400" w:lineRule="exact"/>
        <w:rPr>
          <w:rFonts w:hint="eastAsia"/>
          <w:color w:val="FF0000"/>
          <w:sz w:val="21"/>
          <w:highlight w:val="none"/>
          <w:lang w:eastAsia="zh-CN"/>
        </w:rPr>
      </w:pPr>
      <w:r>
        <w:rPr>
          <w:rFonts w:hint="eastAsia"/>
          <w:color w:val="000000"/>
          <w:sz w:val="21"/>
          <w:highlight w:val="none"/>
          <w:lang w:eastAsia="zh-CN"/>
        </w:rPr>
        <w:t xml:space="preserve"> </w:t>
      </w:r>
    </w:p>
    <w:p>
      <w:pPr>
        <w:pStyle w:val="20"/>
        <w:shd w:val="clear"/>
        <w:spacing w:line="400" w:lineRule="exact"/>
        <w:rPr>
          <w:rFonts w:hint="eastAsia"/>
          <w:color w:val="FF0000"/>
          <w:sz w:val="21"/>
          <w:highlight w:val="none"/>
          <w:lang w:eastAsia="zh-CN"/>
        </w:rPr>
      </w:pPr>
    </w:p>
    <w:p>
      <w:pPr>
        <w:rPr>
          <w:rFonts w:hint="eastAsia"/>
          <w:color w:val="FF0000"/>
          <w:sz w:val="21"/>
          <w:highlight w:val="none"/>
        </w:rPr>
      </w:pPr>
      <w:r>
        <w:rPr>
          <w:rFonts w:hint="eastAsia"/>
          <w:color w:val="FF0000"/>
          <w:sz w:val="21"/>
          <w:highlight w:val="none"/>
        </w:rPr>
        <w:br w:type="page"/>
      </w:r>
    </w:p>
    <w:p>
      <w:pPr>
        <w:pStyle w:val="20"/>
        <w:rPr>
          <w:rFonts w:cs="宋体"/>
          <w:color w:val="FF0000"/>
          <w:kern w:val="2"/>
          <w:sz w:val="21"/>
          <w:highlight w:val="none"/>
          <w:lang w:val="en-US"/>
        </w:rPr>
        <w:sectPr>
          <w:pgSz w:w="16838" w:h="11906" w:orient="landscape"/>
          <w:pgMar w:top="1000" w:right="1000" w:bottom="1000" w:left="1000" w:header="851" w:footer="992" w:gutter="0"/>
          <w:cols w:space="720" w:num="1"/>
          <w:docGrid w:linePitch="312" w:charSpace="0"/>
        </w:sectPr>
      </w:pPr>
    </w:p>
    <w:p>
      <w:pPr>
        <w:pStyle w:val="20"/>
        <w:shd w:val="clear"/>
        <w:spacing w:line="400" w:lineRule="exact"/>
        <w:rPr>
          <w:rFonts w:hint="eastAsia"/>
          <w:color w:val="FF0000"/>
          <w:sz w:val="21"/>
          <w:highlight w:val="none"/>
        </w:rPr>
      </w:pPr>
      <w:bookmarkStart w:id="68" w:name="_Toc18273"/>
      <w:bookmarkStart w:id="69" w:name="_Toc62549194"/>
      <w:bookmarkStart w:id="70" w:name="_Toc22989"/>
      <w:bookmarkStart w:id="71" w:name="_Toc62222031"/>
      <w:bookmarkStart w:id="72" w:name="_Toc24381"/>
      <w:bookmarkStart w:id="73" w:name="_Toc29981"/>
      <w:bookmarkStart w:id="74" w:name="_Toc11946"/>
      <w:bookmarkStart w:id="75" w:name="_Toc62221763"/>
      <w:bookmarkStart w:id="76" w:name="_Toc13168"/>
      <w:bookmarkStart w:id="77" w:name="_Toc11776"/>
      <w:bookmarkStart w:id="78" w:name="_Toc2259"/>
      <w:bookmarkStart w:id="79" w:name="_Toc23924"/>
      <w:bookmarkStart w:id="80" w:name="_Toc23588"/>
      <w:bookmarkStart w:id="81" w:name="_Toc62222579"/>
      <w:bookmarkStart w:id="82" w:name="_Toc22876"/>
      <w:bookmarkStart w:id="83" w:name="_Toc62221472"/>
      <w:bookmarkStart w:id="84" w:name="_Toc1951"/>
      <w:bookmarkStart w:id="85" w:name="_Toc1424"/>
      <w:bookmarkStart w:id="86" w:name="_Toc13670"/>
      <w:bookmarkStart w:id="87" w:name="_Toc3078"/>
      <w:bookmarkStart w:id="88" w:name="_Toc2457"/>
      <w:bookmarkStart w:id="89" w:name="_Toc62549138"/>
      <w:bookmarkStart w:id="90" w:name="_Toc1021"/>
      <w:bookmarkStart w:id="91" w:name="_Toc9224"/>
      <w:bookmarkStart w:id="92" w:name="_Toc1501"/>
      <w:bookmarkStart w:id="93" w:name="_Toc26150"/>
    </w:p>
    <w:p>
      <w:pPr>
        <w:rPr>
          <w:rFonts w:hint="eastAsia"/>
          <w:color w:val="FF0000"/>
          <w:sz w:val="21"/>
          <w:highlight w:val="none"/>
        </w:rPr>
      </w:pPr>
      <w:r>
        <w:rPr>
          <w:rFonts w:hint="eastAsia"/>
          <w:color w:val="FF0000"/>
          <w:sz w:val="21"/>
          <w:highlight w:val="none"/>
        </w:rPr>
        <w:br w:type="page"/>
      </w:r>
    </w:p>
    <w:p>
      <w:pPr>
        <w:pStyle w:val="20"/>
        <w:rPr>
          <w:rFonts w:cs="宋体"/>
          <w:color w:val="FF0000"/>
          <w:kern w:val="2"/>
          <w:sz w:val="21"/>
          <w:highlight w:val="none"/>
          <w:lang w:val="en-US"/>
        </w:rPr>
        <w:sectPr>
          <w:pgSz w:w="16838" w:h="11906" w:orient="landscape"/>
          <w:pgMar w:top="1440" w:right="1797" w:bottom="1440" w:left="1797" w:header="851" w:footer="992" w:gutter="0"/>
          <w:cols w:space="720" w:num="1"/>
          <w:docGrid w:linePitch="312" w:charSpace="0"/>
        </w:sectPr>
      </w:pP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Pr>
        <w:rPr>
          <w:highlight w:val="none"/>
        </w:rPr>
      </w:pPr>
    </w:p>
    <w:p>
      <w:pPr>
        <w:rPr>
          <w:highlight w:val="none"/>
        </w:rPr>
      </w:pPr>
    </w:p>
    <w:bookmarkEnd w:id="94"/>
    <w:sectPr>
      <w:headerReference r:id="rId15" w:type="first"/>
      <w:footerReference r:id="rId17" w:type="first"/>
      <w:headerReference r:id="rId14" w:type="default"/>
      <w:footerReference r:id="rId16" w:type="default"/>
      <w:footnotePr>
        <w:pos w:val="beneathText"/>
      </w:footnotePr>
      <w:pgSz w:w="11907" w:h="16840"/>
      <w:pgMar w:top="1440" w:right="1800" w:bottom="1440" w:left="1800" w:header="851" w:footer="851"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宋 体">
    <w:altName w:val="宋体"/>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r>
      <w:fldChar w:fldCharType="begin"/>
    </w:r>
    <w:r>
      <w:instrText xml:space="preserve"> PAGE   \* MERGEFORMAT </w:instrText>
    </w:r>
    <w:r>
      <w:fldChar w:fldCharType="separate"/>
    </w:r>
    <w:r>
      <w:t>97</w:t>
    </w:r>
    <w:r>
      <w:fldChar w:fldCharType="end"/>
    </w:r>
  </w:p>
  <w:p>
    <w:pPr>
      <w:pStyle w:val="2"/>
      <w:spacing w:line="14" w:lineRule="auto"/>
      <w:ind w:firstLine="240"/>
      <w:rPr>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r>
      <w:fldChar w:fldCharType="begin"/>
    </w:r>
    <w:r>
      <w:instrText xml:space="preserve"> PAGE   \* MERGEFORMAT </w:instrText>
    </w:r>
    <w:r>
      <w:fldChar w:fldCharType="separate"/>
    </w:r>
    <w:r>
      <w:t>97</w:t>
    </w:r>
    <w:r>
      <w:fldChar w:fldCharType="end"/>
    </w:r>
  </w:p>
  <w:p>
    <w:pPr>
      <w:pStyle w:val="2"/>
      <w:spacing w:line="14" w:lineRule="auto"/>
      <w:ind w:firstLine="240"/>
      <w:rPr>
        <w:sz w:val="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6979"/>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pPr>
                            <w:pStyle w:val="10"/>
                          </w:pPr>
                          <w:r>
                            <w:fldChar w:fldCharType="begin"/>
                          </w:r>
                          <w:r>
                            <w:instrText xml:space="preserve"> PAGE  \* MERGEFORMAT </w:instrText>
                          </w:r>
                          <w:r>
                            <w:fldChar w:fldCharType="separate"/>
                          </w:r>
                          <w:r>
                            <w:t>72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tbuXfQAAAAAgEAAA8AAAAAAAAAAQAgAAAAIgAAAGRycy9k&#10;b3ducmV2LnhtbFBLAQIUABQAAAAIAIdO4kAVqN4f0QEAAKQDAAAOAAAAAAAAAAEAIAAAAB8BAABk&#10;cnMvZTJvRG9jLnhtbFBLBQYAAAAABgAGAFkBAABiBQ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72</w:t>
                    </w:r>
                    <w:r>
                      <w:fldChar w:fldCharType="end"/>
                    </w:r>
                  </w:p>
                </w:txbxContent>
              </v:textbox>
            </v:shape>
          </w:pict>
        </mc:Fallback>
      </mc:AlternateContent>
    </w:r>
    <w:r>
      <w:tab/>
    </w:r>
    <w: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r>
      <w:fldChar w:fldCharType="begin"/>
    </w:r>
    <w:r>
      <w:instrText xml:space="preserve"> PAGE   \* MERGEFORMAT </w:instrText>
    </w:r>
    <w:r>
      <w:fldChar w:fldCharType="separate"/>
    </w:r>
    <w:r>
      <w:t>97</w:t>
    </w:r>
    <w:r>
      <w:fldChar w:fldCharType="end"/>
    </w:r>
  </w:p>
  <w:p>
    <w:pPr>
      <w:pStyle w:val="2"/>
      <w:spacing w:line="14" w:lineRule="auto"/>
      <w:ind w:firstLine="240"/>
      <w:rPr>
        <w:sz w:val="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dit="comments" w:enforcement="1" w:cryptProviderType="rsaFull" w:cryptAlgorithmClass="hash" w:cryptAlgorithmType="typeAny" w:cryptAlgorithmSid="4" w:cryptSpinCount="0" w:hash="zoUr7BTwufu7f/oM8BWQ3k59am0=" w:salt="+RwculibkEQXTF4zYQbv2w=="/>
  <w:defaultTabStop w:val="420"/>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6785D7DA0000CF2A" w:val=" "/>
    <w:docVar w:name="67870E060000CEAD" w:val=" "/>
    <w:docVar w:name="67870F920000DC3D" w:val=" "/>
    <w:docVar w:name="6787309A000071C9" w:val=" "/>
    <w:docVar w:name="6787311200003BDB" w:val=" "/>
    <w:docVar w:name="678E1A6A00001FA2" w:val=" "/>
    <w:docVar w:name="678E1DB900000D34" w:val=" "/>
    <w:docVar w:name="678E1DCF00006391" w:val=" "/>
    <w:docVar w:name="67CE8DA10000230C" w:val=" "/>
    <w:docVar w:name="67CF908300005FF0" w:val=" "/>
    <w:docVar w:name="67CFA5D200009E7C" w:val=" "/>
    <w:docVar w:name="67CFDFF40000B09D" w:val=" "/>
    <w:docVar w:name="67CFE07100009904" w:val=" "/>
    <w:docVar w:name="67D27DA900001DEB" w:val=" "/>
    <w:docVar w:name="67D27F7500002470" w:val=" "/>
    <w:docVar w:name="67D29221000013A5" w:val=" "/>
    <w:docVar w:name="67DA6C5600004BFB" w:val=" "/>
    <w:docVar w:name="67DA6DD800003123" w:val=" "/>
    <w:docVar w:name="67E261FB0000C99F" w:val=" "/>
    <w:docVar w:name="67E2621C00004C4C" w:val=" "/>
    <w:docVar w:name="67E26892000089A9" w:val=" "/>
    <w:docVar w:name="67E35C07000084F4" w:val=" "/>
    <w:docVar w:name="67E35CD00000967A" w:val=" "/>
    <w:docVar w:name="67E35FB20000DBCB" w:val=" "/>
    <w:docVar w:name="67E3AF140000F105" w:val=" "/>
    <w:docVar w:name="67E4F29D0000BE39" w:val=" "/>
    <w:docVar w:name="67E60AE80000A227" w:val=" "/>
    <w:docVar w:name="67E63A1000006B96" w:val=" "/>
    <w:docVar w:name="67EA33610000B642" w:val=" "/>
    <w:docVar w:name="6836B02F00006A14" w:val=" "/>
    <w:docVar w:name="6836B1B100004EAF" w:val=" "/>
    <w:docVar w:name="6899A4D00000E9CC" w:val=" "/>
    <w:docVar w:name="689AA5CE0000CB34" w:val=" "/>
    <w:docVar w:name="689AA6470000A12D" w:val=" "/>
    <w:docVar w:name="689AD75500004309" w:val=" "/>
    <w:docVar w:name="689ADFD300001C5F" w:val=" "/>
    <w:docVar w:name="68AD615600008AA2" w:val=" "/>
    <w:docVar w:name="68D3961500007533" w:val=" "/>
    <w:docVar w:name="6900649400005C0F" w:val=" "/>
    <w:docVar w:name="commondata" w:val="eyJoZGlkIjoiNWMyNjAxOTI3NGRiYTg2OGUxZWU3ZmNiMzlmOTJmNGIifQ=="/>
  </w:docVars>
  <w:rsids>
    <w:rsidRoot w:val="00000000"/>
    <w:rsid w:val="011D6E3C"/>
    <w:rsid w:val="013B4944"/>
    <w:rsid w:val="022A50B6"/>
    <w:rsid w:val="029C1F55"/>
    <w:rsid w:val="04A91B26"/>
    <w:rsid w:val="05080FE1"/>
    <w:rsid w:val="05704D38"/>
    <w:rsid w:val="05A76F15"/>
    <w:rsid w:val="067642A4"/>
    <w:rsid w:val="075E0C24"/>
    <w:rsid w:val="08484195"/>
    <w:rsid w:val="08801CB3"/>
    <w:rsid w:val="0AC44DC5"/>
    <w:rsid w:val="0B1A1654"/>
    <w:rsid w:val="0B266665"/>
    <w:rsid w:val="0BB2380D"/>
    <w:rsid w:val="0C7B44AF"/>
    <w:rsid w:val="0C862DAF"/>
    <w:rsid w:val="0D31309F"/>
    <w:rsid w:val="0DFC545B"/>
    <w:rsid w:val="0EA475ED"/>
    <w:rsid w:val="0ED105E5"/>
    <w:rsid w:val="0EF9419F"/>
    <w:rsid w:val="0F87121F"/>
    <w:rsid w:val="0FCE3ABE"/>
    <w:rsid w:val="105004D8"/>
    <w:rsid w:val="10C23712"/>
    <w:rsid w:val="112F798B"/>
    <w:rsid w:val="115E6FFF"/>
    <w:rsid w:val="11770848"/>
    <w:rsid w:val="137D2B9A"/>
    <w:rsid w:val="1444683F"/>
    <w:rsid w:val="161E0E80"/>
    <w:rsid w:val="167E0A2E"/>
    <w:rsid w:val="16F643D6"/>
    <w:rsid w:val="17573F90"/>
    <w:rsid w:val="17A50911"/>
    <w:rsid w:val="17D67C9F"/>
    <w:rsid w:val="185412E4"/>
    <w:rsid w:val="18636D79"/>
    <w:rsid w:val="186C142F"/>
    <w:rsid w:val="195A0C76"/>
    <w:rsid w:val="196A2019"/>
    <w:rsid w:val="19830C9C"/>
    <w:rsid w:val="19DE008F"/>
    <w:rsid w:val="1B0E2C71"/>
    <w:rsid w:val="1C8F3C79"/>
    <w:rsid w:val="1CCA3FD1"/>
    <w:rsid w:val="1DAC73DB"/>
    <w:rsid w:val="1DD404CD"/>
    <w:rsid w:val="1E9F430C"/>
    <w:rsid w:val="1EA65D35"/>
    <w:rsid w:val="1EC14F73"/>
    <w:rsid w:val="1F3C5E1B"/>
    <w:rsid w:val="1F4759EA"/>
    <w:rsid w:val="1F492B1D"/>
    <w:rsid w:val="1F7D3ABC"/>
    <w:rsid w:val="1F85034A"/>
    <w:rsid w:val="1F985B0B"/>
    <w:rsid w:val="1FCC0FC7"/>
    <w:rsid w:val="20665273"/>
    <w:rsid w:val="207417C9"/>
    <w:rsid w:val="20DD5410"/>
    <w:rsid w:val="20E325CD"/>
    <w:rsid w:val="2117648F"/>
    <w:rsid w:val="212E5E1B"/>
    <w:rsid w:val="21A1577C"/>
    <w:rsid w:val="22065890"/>
    <w:rsid w:val="231A68AE"/>
    <w:rsid w:val="23883183"/>
    <w:rsid w:val="240D2DD2"/>
    <w:rsid w:val="242D609A"/>
    <w:rsid w:val="24C2628C"/>
    <w:rsid w:val="24E26372"/>
    <w:rsid w:val="24F1163A"/>
    <w:rsid w:val="259D71B4"/>
    <w:rsid w:val="25A618BC"/>
    <w:rsid w:val="25E92311"/>
    <w:rsid w:val="26162E27"/>
    <w:rsid w:val="2724024E"/>
    <w:rsid w:val="276106CA"/>
    <w:rsid w:val="27B14CAF"/>
    <w:rsid w:val="286A7345"/>
    <w:rsid w:val="287311B0"/>
    <w:rsid w:val="29A529F3"/>
    <w:rsid w:val="29D66D58"/>
    <w:rsid w:val="2A0B20FC"/>
    <w:rsid w:val="2A7F2477"/>
    <w:rsid w:val="2B665EEA"/>
    <w:rsid w:val="2C36068A"/>
    <w:rsid w:val="2C622E1D"/>
    <w:rsid w:val="2CDE042F"/>
    <w:rsid w:val="2CF15AA0"/>
    <w:rsid w:val="2D151964"/>
    <w:rsid w:val="2D666998"/>
    <w:rsid w:val="2DB07F59"/>
    <w:rsid w:val="2DC83D97"/>
    <w:rsid w:val="2DFF3ADE"/>
    <w:rsid w:val="2E8B2D88"/>
    <w:rsid w:val="2E8D3C53"/>
    <w:rsid w:val="2EEE1AC2"/>
    <w:rsid w:val="2F0A4DFC"/>
    <w:rsid w:val="2F21715F"/>
    <w:rsid w:val="2FA07EE4"/>
    <w:rsid w:val="3150593A"/>
    <w:rsid w:val="329130F0"/>
    <w:rsid w:val="32E51D36"/>
    <w:rsid w:val="344374B7"/>
    <w:rsid w:val="347846C8"/>
    <w:rsid w:val="35290B4B"/>
    <w:rsid w:val="356203F2"/>
    <w:rsid w:val="35B259B5"/>
    <w:rsid w:val="35EB7DCB"/>
    <w:rsid w:val="36BC0A25"/>
    <w:rsid w:val="36D7107D"/>
    <w:rsid w:val="39833110"/>
    <w:rsid w:val="399B235C"/>
    <w:rsid w:val="39DC6A05"/>
    <w:rsid w:val="3A1357E4"/>
    <w:rsid w:val="3A1C285D"/>
    <w:rsid w:val="3A290D5D"/>
    <w:rsid w:val="3A612966"/>
    <w:rsid w:val="3A8B12E4"/>
    <w:rsid w:val="3AC55E22"/>
    <w:rsid w:val="3B244BC8"/>
    <w:rsid w:val="3B9358A9"/>
    <w:rsid w:val="3BEA31B8"/>
    <w:rsid w:val="3C717350"/>
    <w:rsid w:val="3CE155B8"/>
    <w:rsid w:val="3D567144"/>
    <w:rsid w:val="3D6725E6"/>
    <w:rsid w:val="3D6A7D83"/>
    <w:rsid w:val="3E050AEA"/>
    <w:rsid w:val="3F7D6A3B"/>
    <w:rsid w:val="40B750D0"/>
    <w:rsid w:val="40FA7B2E"/>
    <w:rsid w:val="41685626"/>
    <w:rsid w:val="41DD4469"/>
    <w:rsid w:val="425228BE"/>
    <w:rsid w:val="42E83C24"/>
    <w:rsid w:val="432B6F4C"/>
    <w:rsid w:val="43781240"/>
    <w:rsid w:val="44197CEB"/>
    <w:rsid w:val="44644096"/>
    <w:rsid w:val="45013D68"/>
    <w:rsid w:val="458974A9"/>
    <w:rsid w:val="45927E77"/>
    <w:rsid w:val="45EC50F0"/>
    <w:rsid w:val="465C2C4D"/>
    <w:rsid w:val="46AF7588"/>
    <w:rsid w:val="46BF72C2"/>
    <w:rsid w:val="4717349C"/>
    <w:rsid w:val="47963CA7"/>
    <w:rsid w:val="485C1533"/>
    <w:rsid w:val="48A36AF2"/>
    <w:rsid w:val="4920613C"/>
    <w:rsid w:val="4A2A5A78"/>
    <w:rsid w:val="4A6C2825"/>
    <w:rsid w:val="4AEE5B50"/>
    <w:rsid w:val="4B035FD3"/>
    <w:rsid w:val="4C2F2FF2"/>
    <w:rsid w:val="4D3E1700"/>
    <w:rsid w:val="4E3164C7"/>
    <w:rsid w:val="4EDD0C59"/>
    <w:rsid w:val="505307A8"/>
    <w:rsid w:val="50953527"/>
    <w:rsid w:val="50C51514"/>
    <w:rsid w:val="51A02811"/>
    <w:rsid w:val="52D53A65"/>
    <w:rsid w:val="5300659D"/>
    <w:rsid w:val="5302488E"/>
    <w:rsid w:val="539E77EA"/>
    <w:rsid w:val="53B635B3"/>
    <w:rsid w:val="53B86CFB"/>
    <w:rsid w:val="54091B14"/>
    <w:rsid w:val="54C11143"/>
    <w:rsid w:val="54E3424B"/>
    <w:rsid w:val="55AE0222"/>
    <w:rsid w:val="55B82064"/>
    <w:rsid w:val="55F93865"/>
    <w:rsid w:val="561E6480"/>
    <w:rsid w:val="597524C5"/>
    <w:rsid w:val="5AD1633C"/>
    <w:rsid w:val="5B111B96"/>
    <w:rsid w:val="5B1946BA"/>
    <w:rsid w:val="5B2942EA"/>
    <w:rsid w:val="5C433822"/>
    <w:rsid w:val="5CA8482B"/>
    <w:rsid w:val="5CC25130"/>
    <w:rsid w:val="5D5F6439"/>
    <w:rsid w:val="5DC913B9"/>
    <w:rsid w:val="5E0C587E"/>
    <w:rsid w:val="5E624DB0"/>
    <w:rsid w:val="5E6D32D4"/>
    <w:rsid w:val="5EEE2F2D"/>
    <w:rsid w:val="5EF9595D"/>
    <w:rsid w:val="5F0A2873"/>
    <w:rsid w:val="5F9C3A55"/>
    <w:rsid w:val="600245D2"/>
    <w:rsid w:val="60711C44"/>
    <w:rsid w:val="61354081"/>
    <w:rsid w:val="616B17E5"/>
    <w:rsid w:val="61B93C22"/>
    <w:rsid w:val="61C636F6"/>
    <w:rsid w:val="62074A71"/>
    <w:rsid w:val="623B1842"/>
    <w:rsid w:val="6333677C"/>
    <w:rsid w:val="63F43D7F"/>
    <w:rsid w:val="643E022A"/>
    <w:rsid w:val="64654C6F"/>
    <w:rsid w:val="64974C7D"/>
    <w:rsid w:val="64F434A4"/>
    <w:rsid w:val="6554235D"/>
    <w:rsid w:val="660F2BB5"/>
    <w:rsid w:val="66753083"/>
    <w:rsid w:val="66C11F13"/>
    <w:rsid w:val="66C531EC"/>
    <w:rsid w:val="675B0437"/>
    <w:rsid w:val="687A05CB"/>
    <w:rsid w:val="698D3CED"/>
    <w:rsid w:val="699102C2"/>
    <w:rsid w:val="6A242BE4"/>
    <w:rsid w:val="6A8D1E9B"/>
    <w:rsid w:val="6AA67D9D"/>
    <w:rsid w:val="6AEB45F8"/>
    <w:rsid w:val="6B8B45D6"/>
    <w:rsid w:val="6B982887"/>
    <w:rsid w:val="6BC710E6"/>
    <w:rsid w:val="6CA4287F"/>
    <w:rsid w:val="6CCF2537"/>
    <w:rsid w:val="6CD34102"/>
    <w:rsid w:val="6DB74CDB"/>
    <w:rsid w:val="6DF12756"/>
    <w:rsid w:val="6E0E0133"/>
    <w:rsid w:val="6E5A0455"/>
    <w:rsid w:val="6E6933A5"/>
    <w:rsid w:val="6EBE6BE0"/>
    <w:rsid w:val="6EDC4AE2"/>
    <w:rsid w:val="700F7B60"/>
    <w:rsid w:val="70547315"/>
    <w:rsid w:val="71E3702D"/>
    <w:rsid w:val="73EA2AA9"/>
    <w:rsid w:val="73ED7ED6"/>
    <w:rsid w:val="73F25E01"/>
    <w:rsid w:val="7411419C"/>
    <w:rsid w:val="741B2D8D"/>
    <w:rsid w:val="747A657C"/>
    <w:rsid w:val="761F533D"/>
    <w:rsid w:val="764741E2"/>
    <w:rsid w:val="7704007B"/>
    <w:rsid w:val="77E548C5"/>
    <w:rsid w:val="786D646D"/>
    <w:rsid w:val="79BB5FB1"/>
    <w:rsid w:val="7A364F32"/>
    <w:rsid w:val="7AA00C89"/>
    <w:rsid w:val="7CE502B1"/>
    <w:rsid w:val="7D513B99"/>
    <w:rsid w:val="7DFA6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autoSpaceDE w:val="0"/>
      <w:autoSpaceDN w:val="0"/>
      <w:ind w:left="641" w:hanging="401"/>
      <w:jc w:val="left"/>
      <w:outlineLvl w:val="1"/>
    </w:pPr>
    <w:rPr>
      <w:rFonts w:ascii="Microsoft JhengHei" w:hAnsi="Microsoft JhengHei" w:eastAsia="Microsoft JhengHei"/>
      <w:b/>
      <w:bCs/>
      <w:kern w:val="0"/>
      <w:sz w:val="32"/>
      <w:szCs w:val="32"/>
      <w:lang w:val="zh-CN"/>
    </w:rPr>
  </w:style>
  <w:style w:type="paragraph" w:styleId="4">
    <w:name w:val="heading 3"/>
    <w:basedOn w:val="1"/>
    <w:next w:val="1"/>
    <w:qFormat/>
    <w:uiPriority w:val="0"/>
    <w:pPr>
      <w:autoSpaceDE w:val="0"/>
      <w:autoSpaceDN w:val="0"/>
      <w:ind w:left="866" w:hanging="489"/>
      <w:jc w:val="left"/>
      <w:outlineLvl w:val="2"/>
    </w:pPr>
    <w:rPr>
      <w:rFonts w:ascii="宋体" w:hAnsi="宋体"/>
      <w:kern w:val="0"/>
      <w:sz w:val="28"/>
      <w:szCs w:val="28"/>
      <w:lang w:val="zh-CN"/>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utoSpaceDE w:val="0"/>
      <w:autoSpaceDN w:val="0"/>
      <w:jc w:val="left"/>
    </w:pPr>
    <w:rPr>
      <w:rFonts w:ascii="宋体" w:hAnsi="宋体" w:cs="宋体"/>
      <w:kern w:val="0"/>
      <w:szCs w:val="21"/>
      <w:lang w:val="zh-CN" w:bidi="zh-CN"/>
    </w:rPr>
  </w:style>
  <w:style w:type="paragraph" w:styleId="5">
    <w:name w:val="Normal Indent"/>
    <w:basedOn w:val="1"/>
    <w:next w:val="1"/>
    <w:qFormat/>
    <w:uiPriority w:val="0"/>
    <w:pPr>
      <w:ind w:firstLine="420"/>
    </w:pPr>
    <w:rPr>
      <w:rFonts w:ascii="Times New Roman" w:hAnsi="Times New Roman"/>
      <w:szCs w:val="24"/>
    </w:rPr>
  </w:style>
  <w:style w:type="paragraph" w:styleId="6">
    <w:name w:val="Document Map"/>
    <w:basedOn w:val="1"/>
    <w:qFormat/>
    <w:uiPriority w:val="0"/>
    <w:rPr>
      <w:rFonts w:hint="eastAsia" w:ascii="宋体"/>
      <w:sz w:val="18"/>
    </w:rPr>
  </w:style>
  <w:style w:type="paragraph" w:styleId="7">
    <w:name w:val="annotation text"/>
    <w:basedOn w:val="1"/>
    <w:qFormat/>
    <w:uiPriority w:val="0"/>
    <w:pPr>
      <w:jc w:val="left"/>
    </w:pPr>
  </w:style>
  <w:style w:type="paragraph" w:styleId="8">
    <w:name w:val="Body Text Indent"/>
    <w:basedOn w:val="1"/>
    <w:unhideWhenUsed/>
    <w:qFormat/>
    <w:uiPriority w:val="0"/>
    <w:pPr>
      <w:spacing w:after="120"/>
      <w:ind w:left="420" w:leftChars="200"/>
    </w:pPr>
  </w:style>
  <w:style w:type="paragraph" w:styleId="9">
    <w:name w:val="Plain Text"/>
    <w:basedOn w:val="1"/>
    <w:qFormat/>
    <w:uiPriority w:val="0"/>
    <w:rPr>
      <w:rFonts w:ascii="宋体" w:hAnsi="Courier New" w:cs="Courier New"/>
      <w:szCs w:val="21"/>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List"/>
    <w:basedOn w:val="1"/>
    <w:qFormat/>
    <w:uiPriority w:val="0"/>
    <w:pPr>
      <w:ind w:left="200" w:hanging="200" w:hangingChars="200"/>
      <w:contextualSpacing/>
    </w:p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4">
    <w:name w:val="Body Text First Indent 2"/>
    <w:basedOn w:val="8"/>
    <w:qFormat/>
    <w:uiPriority w:val="0"/>
    <w:pPr>
      <w:ind w:leftChars="0" w:firstLine="420"/>
    </w:pPr>
    <w:rPr>
      <w:sz w:val="22"/>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0"/>
    <w:rPr>
      <w:rFonts w:hint="default"/>
      <w:color w:val="0000FF"/>
      <w:sz w:val="24"/>
      <w:szCs w:val="24"/>
      <w:u w:val="single"/>
    </w:rPr>
  </w:style>
  <w:style w:type="paragraph" w:customStyle="1" w:styleId="19">
    <w:name w:val="列出段落1"/>
    <w:basedOn w:val="1"/>
    <w:qFormat/>
    <w:uiPriority w:val="0"/>
    <w:pPr>
      <w:ind w:firstLine="420" w:firstLineChars="200"/>
    </w:pPr>
  </w:style>
  <w:style w:type="paragraph" w:customStyle="1" w:styleId="20">
    <w:name w:val="正文文本2"/>
    <w:basedOn w:val="1"/>
    <w:qFormat/>
    <w:uiPriority w:val="0"/>
    <w:pPr>
      <w:autoSpaceDE w:val="0"/>
      <w:autoSpaceDN w:val="0"/>
      <w:jc w:val="left"/>
    </w:pPr>
    <w:rPr>
      <w:rFonts w:ascii="宋体" w:hAnsi="宋体"/>
      <w:kern w:val="0"/>
      <w:sz w:val="20"/>
      <w:szCs w:val="21"/>
      <w:lang w:val="zh-CN"/>
    </w:rPr>
  </w:style>
  <w:style w:type="paragraph" w:customStyle="1" w:styleId="21">
    <w:name w:val="列出段落7"/>
    <w:basedOn w:val="1"/>
    <w:qFormat/>
    <w:uiPriority w:val="0"/>
    <w:pPr>
      <w:ind w:left="400" w:firstLine="420"/>
    </w:pPr>
  </w:style>
  <w:style w:type="paragraph" w:customStyle="1" w:styleId="22">
    <w:name w:val="样式8"/>
    <w:basedOn w:val="23"/>
    <w:qFormat/>
    <w:uiPriority w:val="1"/>
  </w:style>
  <w:style w:type="paragraph" w:customStyle="1" w:styleId="23">
    <w:name w:val="一级标题"/>
    <w:basedOn w:val="1"/>
    <w:qFormat/>
    <w:uiPriority w:val="0"/>
    <w:pPr>
      <w:adjustRightInd w:val="0"/>
      <w:snapToGrid w:val="0"/>
      <w:jc w:val="center"/>
      <w:outlineLvl w:val="0"/>
    </w:pPr>
    <w:rPr>
      <w:rFonts w:ascii="黑体" w:eastAsia="黑体"/>
      <w:b/>
      <w:sz w:val="28"/>
      <w:szCs w:val="28"/>
    </w:rPr>
  </w:style>
  <w:style w:type="paragraph" w:customStyle="1" w:styleId="24">
    <w:name w:val="Table Paragraph"/>
    <w:basedOn w:val="1"/>
    <w:qFormat/>
    <w:uiPriority w:val="1"/>
    <w:pPr>
      <w:autoSpaceDE w:val="0"/>
      <w:autoSpaceDN w:val="0"/>
      <w:jc w:val="left"/>
    </w:pPr>
    <w:rPr>
      <w:rFonts w:ascii="宋体" w:hAnsi="宋体" w:cs="宋体"/>
      <w:kern w:val="0"/>
      <w:sz w:val="22"/>
      <w:lang w:val="zh-CN"/>
    </w:rPr>
  </w:style>
  <w:style w:type="paragraph" w:customStyle="1" w:styleId="25">
    <w:name w:val="列出段落2"/>
    <w:basedOn w:val="1"/>
    <w:qFormat/>
    <w:uiPriority w:val="0"/>
    <w:pPr>
      <w:autoSpaceDE w:val="0"/>
      <w:autoSpaceDN w:val="0"/>
      <w:ind w:left="240" w:firstLine="420"/>
      <w:jc w:val="left"/>
    </w:pPr>
    <w:rPr>
      <w:rFonts w:ascii="宋体" w:hAnsi="宋体" w:cs="宋体"/>
      <w:kern w:val="0"/>
      <w:sz w:val="22"/>
      <w:lang w:val="zh-CN"/>
    </w:rPr>
  </w:style>
  <w:style w:type="paragraph" w:customStyle="1" w:styleId="26">
    <w:name w:val="表格文字"/>
    <w:basedOn w:val="12"/>
    <w:next w:val="1"/>
    <w:qFormat/>
    <w:uiPriority w:val="0"/>
    <w:pPr>
      <w:ind w:firstLine="0" w:firstLineChars="0"/>
      <w:jc w:val="center"/>
    </w:pPr>
    <w:rPr>
      <w:szCs w:val="20"/>
    </w:rPr>
  </w:style>
  <w:style w:type="paragraph" w:customStyle="1" w:styleId="27">
    <w:name w:val="A标题3"/>
    <w:basedOn w:val="4"/>
    <w:next w:val="1"/>
    <w:qFormat/>
    <w:uiPriority w:val="0"/>
    <w:pPr>
      <w:keepNext/>
      <w:keepLines/>
      <w:tabs>
        <w:tab w:val="left" w:pos="720"/>
        <w:tab w:val="left" w:pos="851"/>
      </w:tabs>
      <w:autoSpaceDE/>
      <w:autoSpaceDN/>
      <w:adjustRightInd w:val="0"/>
      <w:spacing w:line="360" w:lineRule="auto"/>
      <w:jc w:val="both"/>
      <w:textAlignment w:val="baseline"/>
    </w:pPr>
    <w:rPr>
      <w:rFonts w:ascii="Calibri" w:hAnsi="Calibri"/>
      <w:b/>
      <w:kern w:val="24"/>
      <w:sz w:val="24"/>
      <w:szCs w:val="20"/>
    </w:rPr>
  </w:style>
  <w:style w:type="paragraph" w:styleId="28">
    <w:name w:val="List Paragraph"/>
    <w:basedOn w:val="1"/>
    <w:qFormat/>
    <w:uiPriority w:val="99"/>
    <w:pPr>
      <w:ind w:firstLine="420" w:firstLineChars="200"/>
    </w:pPr>
  </w:style>
  <w:style w:type="paragraph" w:customStyle="1" w:styleId="29">
    <w:name w:val="bgg"/>
    <w:basedOn w:val="30"/>
    <w:qFormat/>
    <w:uiPriority w:val="0"/>
    <w:pPr>
      <w:snapToGrid w:val="0"/>
      <w:ind w:left="52" w:leftChars="25" w:right="52" w:rightChars="25"/>
      <w:jc w:val="center"/>
    </w:pPr>
    <w:rPr>
      <w:rFonts w:ascii="Times New Roman" w:hAnsi="Times New Roman"/>
      <w:sz w:val="18"/>
      <w:szCs w:val="18"/>
    </w:rPr>
  </w:style>
  <w:style w:type="paragraph" w:customStyle="1" w:styleId="30">
    <w:name w:val="默认段落字体 Para Char Char Char Char"/>
    <w:basedOn w:val="1"/>
    <w:qFormat/>
    <w:uiPriority w:val="0"/>
    <w:rPr>
      <w:rFonts w:ascii="宋体" w:hAnsi="宋体"/>
      <w:b/>
      <w:color w:val="000000"/>
      <w:kern w:val="0"/>
      <w:sz w:val="24"/>
      <w:szCs w:val="24"/>
    </w:rPr>
  </w:style>
  <w:style w:type="paragraph" w:customStyle="1" w:styleId="31">
    <w:name w:val="p0"/>
    <w:basedOn w:val="1"/>
    <w:qFormat/>
    <w:uiPriority w:val="0"/>
    <w:pPr>
      <w:widowControl/>
    </w:pPr>
    <w:rPr>
      <w:rFonts w:eastAsia="方正仿宋_GBK"/>
      <w:kern w:val="0"/>
      <w:szCs w:val="20"/>
    </w:rPr>
  </w:style>
  <w:style w:type="paragraph" w:customStyle="1" w:styleId="32">
    <w:name w:val="列出段落111"/>
    <w:basedOn w:val="1"/>
    <w:qFormat/>
    <w:uiPriority w:val="0"/>
    <w:pPr>
      <w:autoSpaceDE w:val="0"/>
      <w:autoSpaceDN w:val="0"/>
      <w:ind w:firstLine="420" w:firstLineChars="200"/>
    </w:pPr>
    <w:rPr>
      <w:szCs w:val="20"/>
    </w:rPr>
  </w:style>
  <w:style w:type="character" w:customStyle="1" w:styleId="33">
    <w:name w:val="标题 1.1 Char1"/>
    <w:qFormat/>
    <w:uiPriority w:val="0"/>
    <w:rPr>
      <w:rFonts w:ascii="Arial" w:hAnsi="Arial" w:eastAsia="黑体"/>
      <w:b/>
      <w:bCs/>
      <w:kern w:val="2"/>
      <w:sz w:val="32"/>
      <w:szCs w:val="32"/>
    </w:rPr>
  </w:style>
  <w:style w:type="paragraph" w:customStyle="1" w:styleId="34">
    <w:name w:val="正文 New"/>
    <w:qFormat/>
    <w:uiPriority w:val="0"/>
    <w:pPr>
      <w:widowControl w:val="0"/>
      <w:jc w:val="both"/>
    </w:pPr>
    <w:rPr>
      <w:rFonts w:hint="eastAsia" w:ascii="Times New Roman" w:hAnsi="Times New Roman" w:eastAsia="宋体" w:cs="Times New Roman"/>
      <w:kern w:val="2"/>
      <w:sz w:val="21"/>
      <w:szCs w:val="22"/>
      <w:lang w:val="en-US" w:eastAsia="zh-CN" w:bidi="ar-SA"/>
    </w:rPr>
  </w:style>
  <w:style w:type="paragraph" w:customStyle="1" w:styleId="35">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qFormat/>
    <w:uiPriority w:val="0"/>
    <w:rPr>
      <w:rFonts w:hint="default" w:ascii="Times New Roman" w:hAnsi="Times New Roman"/>
      <w:szCs w:val="21"/>
    </w:rPr>
  </w:style>
  <w:style w:type="paragraph" w:customStyle="1" w:styleId="36">
    <w:name w:val="正文 New New New"/>
    <w:qFormat/>
    <w:uiPriority w:val="0"/>
    <w:pPr>
      <w:widowControl w:val="0"/>
      <w:jc w:val="both"/>
    </w:pPr>
    <w:rPr>
      <w:rFonts w:hint="default" w:ascii="Times New Roman" w:hAnsi="Times New Roman" w:eastAsia="宋体" w:cs="Times New Roman"/>
      <w:kern w:val="2"/>
      <w:sz w:val="21"/>
      <w:szCs w:val="24"/>
      <w:lang w:val="en-US" w:eastAsia="zh-CN" w:bidi="ar-SA"/>
    </w:rPr>
  </w:style>
  <w:style w:type="paragraph" w:customStyle="1" w:styleId="37">
    <w:name w:val="正文 New New New New New New New New New New New New New New New New New New New New New New New New New New New New New New New New New New New New New New New New New New New"/>
    <w:qFormat/>
    <w:uiPriority w:val="0"/>
    <w:pPr>
      <w:widowControl w:val="0"/>
      <w:topLinePunct/>
      <w:jc w:val="both"/>
    </w:pPr>
    <w:rPr>
      <w:rFonts w:hint="default"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28222</Words>
  <Characters>35753</Characters>
  <Lines>0</Lines>
  <Paragraphs>0</Paragraphs>
  <TotalTime>0</TotalTime>
  <ScaleCrop>false</ScaleCrop>
  <LinksUpToDate>false</LinksUpToDate>
  <CharactersWithSpaces>35847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2024-09-04T01:41:00Z</dcterms:created>
  <dc:creator>lg</dc:creator>
  <cp:keywords>BD@@2025@@服务公开招标批次采购招标文件.docx</cp:keywords>
  <cp:lastModifiedBy>NEDsg</cp:lastModifiedBy>
  <dcterms:modified xsi:type="dcterms:W3CDTF">2025-11-03T02:02:18Z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E794C3B9407C4535A84B25D6991DD09B</vt:lpwstr>
  </property>
  <property fmtid="{D5CDD505-2E9C-101B-9397-08002B2CF9AE}" pid="4" name="KSOTemplateDocerSaveRecord">
    <vt:lpwstr>eyJoZGlkIjoiYmM5YTQ5ZDEyOWMyMGZiNWU5ZjFkNjMxM2FiMDhkOTUiLCJ1c2VySWQiOiI1MjE2OTQ1NjYifQ==</vt:lpwstr>
  </property>
  <property fmtid="{D5CDD505-2E9C-101B-9397-08002B2CF9AE}" pid="5" name="GWFBBS_NAME" linkTarget="0">
    <vt:lpwstr>ZBWJFBBS</vt:lpwstr>
  </property>
</Properties>
</file>