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outlineLvl w:val="0"/>
        <w:rPr>
          <w:rFonts w:ascii="黑体" w:eastAsia="黑体"/>
          <w:b/>
          <w:color w:val="auto"/>
          <w:sz w:val="28"/>
          <w:szCs w:val="28"/>
          <w:highlight w:val="none"/>
        </w:rPr>
      </w:pPr>
      <w:bookmarkStart w:id="0" w:name="_Toc7051"/>
      <w:bookmarkStart w:id="1" w:name="_Toc22863"/>
      <w:bookmarkStart w:id="2" w:name="_Toc5823"/>
      <w:bookmarkStart w:id="3" w:name="_Toc62551528"/>
      <w:r>
        <w:rPr>
          <w:rFonts w:hint="eastAsia" w:ascii="黑体" w:eastAsia="黑体"/>
          <w:b/>
          <w:color w:val="auto"/>
          <w:sz w:val="28"/>
          <w:szCs w:val="28"/>
          <w:highlight w:val="none"/>
          <w:lang w:val="en-US" w:eastAsia="zh-CN"/>
        </w:rPr>
        <w:t xml:space="preserve">  </w:t>
      </w:r>
      <w:r>
        <w:rPr>
          <w:rFonts w:hint="eastAsia" w:ascii="黑体" w:eastAsia="黑体"/>
          <w:b/>
          <w:color w:val="auto"/>
          <w:sz w:val="28"/>
          <w:szCs w:val="28"/>
          <w:highlight w:val="none"/>
        </w:rPr>
        <w:t>第一章 招标公告</w:t>
      </w:r>
      <w:bookmarkEnd w:id="0"/>
      <w:bookmarkEnd w:id="1"/>
      <w:bookmarkEnd w:id="2"/>
      <w:bookmarkEnd w:id="3"/>
    </w:p>
    <w:p>
      <w:pPr>
        <w:adjustRightInd w:val="0"/>
        <w:snapToGrid w:val="0"/>
        <w:jc w:val="center"/>
        <w:rPr>
          <w:rFonts w:ascii="黑体" w:eastAsia="黑体"/>
          <w:b/>
          <w:color w:val="auto"/>
          <w:sz w:val="28"/>
          <w:szCs w:val="28"/>
          <w:highlight w:val="none"/>
        </w:rPr>
      </w:pPr>
    </w:p>
    <w:p>
      <w:pPr>
        <w:jc w:val="center"/>
        <w:rPr>
          <w:rFonts w:hint="eastAsia" w:ascii="黑体" w:hAnsi="黑体" w:eastAsia="黑体"/>
          <w:bCs/>
          <w:color w:val="auto"/>
          <w:sz w:val="28"/>
          <w:szCs w:val="28"/>
          <w:highlight w:val="none"/>
        </w:rPr>
      </w:pPr>
      <w:bookmarkStart w:id="4" w:name="OLE_LINK1"/>
      <w:bookmarkStart w:id="5" w:name="_Toc25789"/>
      <w:bookmarkStart w:id="6" w:name="_Toc12970"/>
      <w:bookmarkStart w:id="7" w:name="_Toc7053"/>
      <w:bookmarkStart w:id="8" w:name="_Toc1901"/>
      <w:bookmarkStart w:id="9" w:name="_Toc30735"/>
      <w:bookmarkStart w:id="10" w:name="_Toc21954"/>
      <w:bookmarkStart w:id="11" w:name="_Toc18789"/>
      <w:bookmarkStart w:id="12" w:name="_Toc18179"/>
      <w:bookmarkStart w:id="13" w:name="_Toc8584"/>
      <w:bookmarkStart w:id="14" w:name="_Toc3173"/>
      <w:bookmarkStart w:id="15" w:name="_Toc1540"/>
      <w:bookmarkStart w:id="16" w:name="_Toc12766"/>
      <w:bookmarkStart w:id="17" w:name="_Toc24199"/>
      <w:bookmarkStart w:id="18" w:name="_Toc3331"/>
      <w:bookmarkStart w:id="19" w:name="_Toc7870"/>
      <w:bookmarkStart w:id="20" w:name="_Toc7560"/>
      <w:bookmarkStart w:id="21" w:name="_Toc6743"/>
      <w:bookmarkStart w:id="22" w:name="_Toc6951"/>
      <w:bookmarkStart w:id="23" w:name="_Toc24661"/>
      <w:bookmarkStart w:id="24" w:name="_Toc7563"/>
      <w:bookmarkStart w:id="25" w:name="_Toc24035"/>
      <w:bookmarkStart w:id="26" w:name="_Toc15566"/>
      <w:bookmarkStart w:id="27" w:name="_Toc13935"/>
      <w:r>
        <w:rPr>
          <w:rFonts w:hint="eastAsia" w:ascii="黑体" w:hAnsi="黑体" w:eastAsia="黑体"/>
          <w:bCs/>
          <w:color w:val="auto"/>
          <w:sz w:val="28"/>
          <w:szCs w:val="28"/>
          <w:highlight w:val="none"/>
        </w:rPr>
        <w:t>国网陕西电力2025年第六次服务联合授权公开招标采购</w:t>
      </w:r>
    </w:p>
    <w:bookmarkEnd w:id="4"/>
    <w:p>
      <w:pPr>
        <w:jc w:val="center"/>
        <w:rPr>
          <w:rFonts w:ascii="黑体" w:hAnsi="黑体" w:eastAsia="黑体"/>
          <w:bCs/>
          <w:color w:val="auto"/>
          <w:sz w:val="28"/>
          <w:szCs w:val="28"/>
          <w:highlight w:val="none"/>
        </w:rPr>
      </w:pPr>
      <w:r>
        <w:rPr>
          <w:rFonts w:hint="eastAsia" w:ascii="黑体" w:hAnsi="黑体" w:eastAsia="黑体"/>
          <w:bCs/>
          <w:color w:val="auto"/>
          <w:sz w:val="28"/>
          <w:szCs w:val="28"/>
          <w:highlight w:val="none"/>
        </w:rPr>
        <w:t>招标公告</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pPr>
        <w:adjustRightInd w:val="0"/>
        <w:snapToGrid w:val="0"/>
        <w:jc w:val="center"/>
        <w:rPr>
          <w:rFonts w:ascii="黑体" w:eastAsia="黑体"/>
          <w:color w:val="auto"/>
          <w:sz w:val="24"/>
          <w:szCs w:val="24"/>
          <w:highlight w:val="yellow"/>
        </w:rPr>
      </w:pPr>
      <w:r>
        <w:rPr>
          <w:rFonts w:hint="eastAsia" w:ascii="黑体" w:hAnsi="黑体" w:eastAsia="黑体"/>
          <w:bCs/>
          <w:color w:val="auto"/>
          <w:sz w:val="28"/>
          <w:szCs w:val="28"/>
          <w:highlight w:val="none"/>
        </w:rPr>
        <w:t>招标编号：</w:t>
      </w:r>
      <w:bookmarkEnd w:id="25"/>
      <w:bookmarkEnd w:id="26"/>
      <w:bookmarkEnd w:id="27"/>
      <w:r>
        <w:rPr>
          <w:rFonts w:hint="eastAsia" w:ascii="黑体" w:hAnsi="黑体" w:eastAsia="黑体"/>
          <w:bCs/>
          <w:color w:val="auto"/>
          <w:sz w:val="28"/>
          <w:szCs w:val="28"/>
          <w:highlight w:val="none"/>
        </w:rPr>
        <w:t>26EK16</w:t>
      </w:r>
    </w:p>
    <w:p>
      <w:pPr>
        <w:adjustRightInd w:val="0"/>
        <w:snapToGrid w:val="0"/>
        <w:spacing w:before="240" w:beforeLines="100" w:after="120" w:afterLines="50" w:line="400" w:lineRule="exact"/>
        <w:outlineLvl w:val="1"/>
        <w:rPr>
          <w:rFonts w:ascii="黑体" w:eastAsia="黑体"/>
          <w:b/>
          <w:color w:val="auto"/>
          <w:sz w:val="24"/>
          <w:highlight w:val="none"/>
        </w:rPr>
      </w:pPr>
      <w:bookmarkStart w:id="28" w:name="_bookmark2"/>
      <w:bookmarkEnd w:id="28"/>
      <w:bookmarkStart w:id="29" w:name="_Toc12492"/>
      <w:bookmarkStart w:id="30" w:name="_Toc26742"/>
      <w:bookmarkStart w:id="31" w:name="_Toc10816"/>
      <w:bookmarkStart w:id="32" w:name="_Toc62551529"/>
      <w:r>
        <w:rPr>
          <w:rFonts w:hint="eastAsia" w:ascii="黑体" w:eastAsia="黑体"/>
          <w:b/>
          <w:color w:val="auto"/>
          <w:sz w:val="24"/>
          <w:highlight w:val="none"/>
        </w:rPr>
        <w:t>1.</w:t>
      </w:r>
      <w:r>
        <w:rPr>
          <w:rFonts w:ascii="黑体" w:eastAsia="黑体"/>
          <w:b/>
          <w:color w:val="auto"/>
          <w:sz w:val="24"/>
          <w:highlight w:val="none"/>
        </w:rPr>
        <w:t>招标条件</w:t>
      </w:r>
      <w:bookmarkEnd w:id="29"/>
      <w:bookmarkEnd w:id="30"/>
      <w:bookmarkEnd w:id="31"/>
      <w:bookmarkEnd w:id="32"/>
    </w:p>
    <w:p>
      <w:pPr>
        <w:pStyle w:val="19"/>
        <w:tabs>
          <w:tab w:val="left" w:pos="0"/>
        </w:tabs>
        <w:spacing w:line="400" w:lineRule="exact"/>
        <w:ind w:firstLine="420" w:firstLineChars="200"/>
        <w:jc w:val="both"/>
        <w:rPr>
          <w:color w:val="auto"/>
          <w:kern w:val="2"/>
          <w:sz w:val="21"/>
          <w:szCs w:val="21"/>
          <w:highlight w:val="none"/>
        </w:rPr>
      </w:pPr>
      <w:r>
        <w:rPr>
          <w:rFonts w:hint="eastAsia"/>
          <w:color w:val="auto"/>
          <w:sz w:val="21"/>
          <w:szCs w:val="21"/>
          <w:highlight w:val="none"/>
        </w:rPr>
        <w:t>项目建设单位为国网（西安）环保技术中心有限公司、国网陕西省电力有限公司安康供电公司、国网陕西省电力有限公司宝鸡供电公司、国网陕西省电力有限公司电力科学研究院、国网陕西省电力有限公司汉中供电公司、国网陕西省电力有限公司建设分公司、国网陕西省电力有限公司经济技术研究院、国网陕西省电力有限公司商洛供电公司、国网陕西省电力有限公司渭南供电公司、国网陕西省电力有限公司西安供电公司、国网陕西省电力有限公司咸阳供电公司、国网陕西省电力有限公司延安供电公司、国网陕西省电力有限公司榆林供电公司、陕西电力供应链管理有限公司</w:t>
      </w:r>
      <w:r>
        <w:rPr>
          <w:rFonts w:hint="eastAsia" w:ascii="宋体" w:hAnsi="宋体" w:eastAsia="宋体" w:cs="宋体"/>
          <w:sz w:val="21"/>
          <w:szCs w:val="21"/>
          <w:highlight w:val="none"/>
          <w:lang w:eastAsia="zh-CN"/>
        </w:rPr>
        <w:t>等</w:t>
      </w:r>
      <w:r>
        <w:rPr>
          <w:rFonts w:hint="eastAsia" w:cs="宋体"/>
          <w:sz w:val="21"/>
          <w:szCs w:val="21"/>
          <w:highlight w:val="none"/>
          <w:lang w:val="en-US" w:eastAsia="zh-CN"/>
        </w:rPr>
        <w:t>14</w:t>
      </w:r>
      <w:r>
        <w:rPr>
          <w:rFonts w:hint="eastAsia" w:ascii="宋体" w:hAnsi="宋体" w:eastAsia="宋体" w:cs="宋体"/>
          <w:sz w:val="21"/>
          <w:szCs w:val="21"/>
          <w:highlight w:val="none"/>
          <w:lang w:eastAsia="zh-CN"/>
        </w:rPr>
        <w:t>家单位</w:t>
      </w:r>
      <w:r>
        <w:rPr>
          <w:rFonts w:hint="eastAsia"/>
          <w:color w:val="auto"/>
          <w:sz w:val="21"/>
          <w:szCs w:val="21"/>
          <w:highlight w:val="none"/>
        </w:rPr>
        <w:t>（以下简称“项目单位”），项目资金来自企业自有资金，出资比例为100%，资金来源已落实，招标人为国网陕西省电力有限公司榆林供电公司，并委托</w:t>
      </w:r>
      <w:r>
        <w:rPr>
          <w:rFonts w:hint="eastAsia" w:ascii="宋体" w:hAnsi="宋体" w:eastAsia="宋体" w:cs="宋体"/>
          <w:sz w:val="21"/>
          <w:szCs w:val="21"/>
          <w:lang w:eastAsia="zh-CN"/>
        </w:rPr>
        <w:t>西北（西安）电能成套</w:t>
      </w:r>
      <w:r>
        <w:rPr>
          <w:rFonts w:hint="eastAsia" w:ascii="宋体" w:hAnsi="宋体" w:cs="宋体"/>
          <w:sz w:val="21"/>
          <w:szCs w:val="21"/>
          <w:lang w:val="en-US" w:eastAsia="zh-CN"/>
        </w:rPr>
        <w:t>设备</w:t>
      </w:r>
      <w:r>
        <w:rPr>
          <w:rFonts w:hint="eastAsia" w:ascii="宋体" w:hAnsi="宋体" w:eastAsia="宋体" w:cs="宋体"/>
          <w:sz w:val="21"/>
          <w:szCs w:val="21"/>
          <w:lang w:eastAsia="zh-CN"/>
        </w:rPr>
        <w:t>有限公司</w:t>
      </w:r>
      <w:r>
        <w:rPr>
          <w:rFonts w:hint="eastAsia"/>
          <w:color w:val="auto"/>
          <w:sz w:val="21"/>
          <w:szCs w:val="21"/>
          <w:highlight w:val="none"/>
        </w:rPr>
        <w:t>为招标代理机构。项目已具备招标条件，现对该项目进行公开招标。</w:t>
      </w:r>
    </w:p>
    <w:p>
      <w:pPr>
        <w:pStyle w:val="19"/>
        <w:tabs>
          <w:tab w:val="left" w:pos="0"/>
        </w:tabs>
        <w:spacing w:line="400" w:lineRule="exact"/>
        <w:ind w:firstLine="420" w:firstLineChars="200"/>
        <w:jc w:val="both"/>
        <w:rPr>
          <w:color w:val="auto"/>
          <w:kern w:val="2"/>
          <w:sz w:val="21"/>
          <w:highlight w:val="none"/>
        </w:rPr>
      </w:pPr>
      <w:r>
        <w:rPr>
          <w:rFonts w:hint="eastAsia"/>
          <w:color w:val="auto"/>
          <w:kern w:val="0"/>
          <w:sz w:val="21"/>
          <w:szCs w:val="21"/>
          <w:highlight w:val="none"/>
        </w:rPr>
        <w:t>本项目积极响应《中共中央国务院关于开展质量提升行动的指导意见》，倡导潜在投标人用先进标准引领服务质量提升，有效治理质量突出问题，推动形成优质优价的采购机制</w:t>
      </w:r>
      <w:r>
        <w:rPr>
          <w:rFonts w:hint="eastAsia"/>
          <w:color w:val="auto"/>
          <w:kern w:val="0"/>
          <w:sz w:val="21"/>
          <w:highlight w:val="none"/>
        </w:rPr>
        <w:t>。</w:t>
      </w:r>
    </w:p>
    <w:p>
      <w:pPr>
        <w:numPr>
          <w:ilvl w:val="255"/>
          <w:numId w:val="0"/>
        </w:numPr>
        <w:adjustRightInd w:val="0"/>
        <w:snapToGrid w:val="0"/>
        <w:spacing w:before="240" w:beforeLines="100" w:after="120" w:afterLines="50" w:line="400" w:lineRule="exact"/>
        <w:outlineLvl w:val="1"/>
        <w:rPr>
          <w:rFonts w:ascii="黑体" w:eastAsia="黑体"/>
          <w:b/>
          <w:color w:val="auto"/>
          <w:sz w:val="24"/>
          <w:highlight w:val="none"/>
        </w:rPr>
      </w:pPr>
      <w:bookmarkStart w:id="33" w:name="_bookmark4"/>
      <w:bookmarkEnd w:id="33"/>
      <w:bookmarkStart w:id="34" w:name="_bookmark3"/>
      <w:bookmarkEnd w:id="34"/>
      <w:bookmarkStart w:id="35" w:name="_Toc9444"/>
      <w:bookmarkStart w:id="36" w:name="_Toc62551530"/>
      <w:bookmarkStart w:id="37" w:name="_Toc25148"/>
      <w:bookmarkStart w:id="38" w:name="_Toc21896"/>
      <w:bookmarkStart w:id="39" w:name="_Toc10766"/>
      <w:bookmarkStart w:id="40" w:name="_Toc11363"/>
      <w:bookmarkStart w:id="41" w:name="_Toc62551531"/>
      <w:bookmarkStart w:id="42" w:name="_Toc31535"/>
      <w:r>
        <w:rPr>
          <w:rFonts w:hint="eastAsia" w:ascii="黑体" w:eastAsia="黑体"/>
          <w:b/>
          <w:color w:val="auto"/>
          <w:sz w:val="24"/>
          <w:highlight w:val="none"/>
        </w:rPr>
        <w:t>2.</w:t>
      </w:r>
      <w:r>
        <w:rPr>
          <w:rFonts w:ascii="黑体" w:eastAsia="黑体"/>
          <w:b/>
          <w:color w:val="auto"/>
          <w:sz w:val="24"/>
          <w:highlight w:val="none"/>
        </w:rPr>
        <w:t>项目概况与招标范围</w:t>
      </w:r>
      <w:bookmarkEnd w:id="35"/>
      <w:bookmarkEnd w:id="36"/>
      <w:bookmarkEnd w:id="37"/>
      <w:bookmarkEnd w:id="38"/>
    </w:p>
    <w:p>
      <w:pPr>
        <w:pStyle w:val="14"/>
        <w:spacing w:after="0" w:line="400" w:lineRule="exact"/>
        <w:ind w:left="0" w:firstLine="420" w:firstLineChars="200"/>
        <w:rPr>
          <w:color w:val="auto"/>
          <w:highlight w:val="none"/>
        </w:rPr>
      </w:pPr>
      <w:r>
        <w:rPr>
          <w:rFonts w:hint="eastAsia"/>
          <w:color w:val="auto"/>
          <w:sz w:val="21"/>
          <w:szCs w:val="21"/>
          <w:highlight w:val="none"/>
        </w:rPr>
        <w:t>详见招标公告附件。</w:t>
      </w:r>
    </w:p>
    <w:p>
      <w:pPr>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3.投标人资格要求</w:t>
      </w:r>
      <w:bookmarkEnd w:id="39"/>
      <w:bookmarkEnd w:id="40"/>
      <w:bookmarkEnd w:id="41"/>
      <w:bookmarkEnd w:id="42"/>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eastAsia="宋体" w:cs="宋体"/>
          <w:b/>
          <w:bCs/>
          <w:color w:val="auto"/>
          <w:spacing w:val="7"/>
          <w:szCs w:val="21"/>
          <w:highlight w:val="none"/>
        </w:rPr>
        <w:t>3.1</w:t>
      </w:r>
      <w:r>
        <w:rPr>
          <w:rFonts w:hint="eastAsia"/>
          <w:b/>
          <w:bCs/>
          <w:color w:val="auto"/>
          <w:spacing w:val="7"/>
          <w:szCs w:val="21"/>
          <w:highlight w:val="none"/>
        </w:rPr>
        <w:t xml:space="preserve"> 投标人须满足如下通用资格要求：</w:t>
      </w:r>
    </w:p>
    <w:p>
      <w:pPr>
        <w:pStyle w:val="19"/>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（1）本次招标要求投标人须为中华人民共和国境内依法注册的法人或</w:t>
      </w:r>
      <w:r>
        <w:rPr>
          <w:rFonts w:hint="eastAsia" w:ascii="宋体" w:hAnsi="宋体" w:eastAsia="宋体" w:cs="宋体"/>
          <w:color w:val="auto"/>
          <w:kern w:val="2"/>
          <w:sz w:val="21"/>
          <w:highlight w:val="none"/>
          <w:lang w:val="en-US" w:eastAsia="zh-CN"/>
        </w:rPr>
        <w:t>其他</w:t>
      </w:r>
      <w:r>
        <w:rPr>
          <w:rFonts w:hint="eastAsia" w:ascii="宋体" w:hAnsi="宋体" w:eastAsia="宋体" w:cs="宋体"/>
          <w:color w:val="auto"/>
          <w:kern w:val="2"/>
          <w:sz w:val="21"/>
          <w:highlight w:val="none"/>
          <w:lang w:val="en-US"/>
        </w:rPr>
        <w:t>组织</w:t>
      </w:r>
      <w:r>
        <w:rPr>
          <w:rFonts w:hint="eastAsia" w:ascii="宋体" w:hAnsi="宋体" w:eastAsia="宋体" w:cs="宋体"/>
          <w:color w:val="auto"/>
          <w:kern w:val="2"/>
          <w:sz w:val="21"/>
          <w:highlight w:val="none"/>
        </w:rPr>
        <w:t>，须具备承担所投项目的资格条件；并在人员、设备、资金等方面具有保障如期完成中标项目的能力。</w:t>
      </w:r>
    </w:p>
    <w:p>
      <w:pPr>
        <w:pStyle w:val="19"/>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（2）法定代表人（单位负责人）为同一人或者存在控股、管理关系的不同单位，不得参加同一标包投标或者未划分标包的同一</w:t>
      </w:r>
      <w:r>
        <w:rPr>
          <w:rFonts w:hint="eastAsia" w:cs="宋体"/>
          <w:color w:val="auto"/>
          <w:kern w:val="2"/>
          <w:sz w:val="21"/>
          <w:highlight w:val="none"/>
          <w:lang w:val="en-US" w:eastAsia="zh-CN"/>
        </w:rPr>
        <w:t>招标</w:t>
      </w:r>
      <w:r>
        <w:rPr>
          <w:rFonts w:hint="eastAsia" w:ascii="宋体" w:hAnsi="宋体" w:eastAsia="宋体" w:cs="宋体"/>
          <w:color w:val="auto"/>
          <w:kern w:val="2"/>
          <w:sz w:val="21"/>
          <w:highlight w:val="none"/>
        </w:rPr>
        <w:t>项目投标。</w:t>
      </w:r>
    </w:p>
    <w:p>
      <w:pPr>
        <w:pStyle w:val="19"/>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（3）取得国家法律、法规、规章规定的有效许可证。取得招标文件要求的国家强制认证证书。</w:t>
      </w:r>
    </w:p>
    <w:p>
      <w:pPr>
        <w:pStyle w:val="19"/>
        <w:tabs>
          <w:tab w:val="left" w:pos="0"/>
        </w:tabs>
        <w:spacing w:line="400" w:lineRule="exact"/>
        <w:ind w:firstLine="420" w:firstLineChars="200"/>
        <w:jc w:val="both"/>
        <w:rPr>
          <w:rFonts w:hint="eastAsia" w:ascii="宋体" w:hAnsi="宋体" w:eastAsia="宋体" w:cs="宋体"/>
          <w:color w:val="auto"/>
          <w:kern w:val="2"/>
          <w:sz w:val="21"/>
          <w:highlight w:val="none"/>
          <w:lang w:eastAsia="zh-CN"/>
        </w:rPr>
      </w:pPr>
      <w:r>
        <w:rPr>
          <w:rFonts w:hint="eastAsia" w:ascii="宋体" w:hAnsi="宋体" w:eastAsia="宋体" w:cs="宋体"/>
          <w:color w:val="auto"/>
          <w:kern w:val="2"/>
          <w:sz w:val="21"/>
          <w:highlight w:val="none"/>
          <w:lang w:eastAsia="zh-CN"/>
        </w:rPr>
        <w:t>（</w:t>
      </w:r>
      <w:r>
        <w:rPr>
          <w:rFonts w:hint="eastAsia" w:ascii="宋体" w:hAnsi="宋体" w:eastAsia="宋体" w:cs="宋体"/>
          <w:color w:val="auto"/>
          <w:kern w:val="2"/>
          <w:sz w:val="21"/>
          <w:highlight w:val="none"/>
          <w:lang w:val="en-US" w:eastAsia="zh-CN"/>
        </w:rPr>
        <w:t>4</w:t>
      </w:r>
      <w:r>
        <w:rPr>
          <w:rFonts w:hint="eastAsia" w:ascii="宋体" w:hAnsi="宋体" w:eastAsia="宋体" w:cs="宋体"/>
          <w:color w:val="auto"/>
          <w:kern w:val="2"/>
          <w:sz w:val="21"/>
          <w:highlight w:val="none"/>
          <w:lang w:eastAsia="zh-CN"/>
        </w:rPr>
        <w:t>）应有良好的财务状况和商业信用。</w:t>
      </w:r>
    </w:p>
    <w:p>
      <w:pPr>
        <w:pStyle w:val="19"/>
        <w:tabs>
          <w:tab w:val="left" w:pos="0"/>
        </w:tabs>
        <w:spacing w:line="400" w:lineRule="exact"/>
        <w:ind w:firstLine="420" w:firstLineChars="200"/>
        <w:jc w:val="both"/>
        <w:rPr>
          <w:rFonts w:hint="eastAsia" w:ascii="宋体" w:hAnsi="宋体" w:eastAsia="宋体" w:cs="宋体"/>
          <w:color w:val="auto"/>
          <w:kern w:val="2"/>
          <w:sz w:val="21"/>
          <w:highlight w:val="none"/>
        </w:rPr>
      </w:pP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eastAsia="zh-CN"/>
        </w:rPr>
        <w:t>5</w:t>
      </w:r>
      <w:r>
        <w:rPr>
          <w:rFonts w:hint="eastAsia" w:ascii="宋体" w:hAnsi="宋体" w:eastAsia="宋体" w:cs="宋体"/>
          <w:color w:val="auto"/>
          <w:kern w:val="2"/>
          <w:sz w:val="21"/>
          <w:highlight w:val="none"/>
        </w:rPr>
        <w:t>）</w:t>
      </w:r>
      <w:r>
        <w:rPr>
          <w:rFonts w:hint="eastAsia" w:ascii="宋体" w:hAnsi="宋体" w:eastAsia="宋体" w:cs="宋体"/>
          <w:color w:val="auto"/>
          <w:kern w:val="2"/>
          <w:sz w:val="21"/>
          <w:highlight w:val="none"/>
          <w:lang w:val="en-US"/>
        </w:rPr>
        <w:t>根据《国家电网有限公司供应商关系管理办法》的规定，投标人存在导致其被暂停中标资格或取消中标资格的不良行为且在处理有效期内的，投标人在投标截止之日至</w:t>
      </w:r>
      <w:r>
        <w:rPr>
          <w:rFonts w:hint="eastAsia" w:asciiTheme="minorEastAsia" w:hAnsiTheme="minorEastAsia" w:eastAsiaTheme="minorEastAsia" w:cstheme="minorEastAsia"/>
          <w:color w:val="auto"/>
          <w:sz w:val="21"/>
          <w:szCs w:val="22"/>
          <w:highlight w:val="none"/>
        </w:rPr>
        <w:t>中标通知书到达之日前，任一日在《国家电网有限公司关于供应商不良行为处理情况的通报》处理期内的均适用不良行为处理结果</w:t>
      </w:r>
      <w:r>
        <w:rPr>
          <w:rFonts w:hint="eastAsia" w:ascii="宋体" w:hAnsi="宋体" w:eastAsia="宋体" w:cs="宋体"/>
          <w:color w:val="auto"/>
          <w:kern w:val="2"/>
          <w:sz w:val="21"/>
          <w:highlight w:val="none"/>
          <w:lang w:val="en-US"/>
        </w:rPr>
        <w:t>。或投标人存在触发《国家电网有限公司供应商关系管理办法》第</w:t>
      </w:r>
      <w:r>
        <w:rPr>
          <w:rFonts w:hint="eastAsia" w:ascii="宋体" w:hAnsi="宋体" w:eastAsia="宋体" w:cs="宋体"/>
          <w:color w:val="auto"/>
          <w:kern w:val="2"/>
          <w:sz w:val="21"/>
          <w:highlight w:val="none"/>
          <w:lang w:val="en-US" w:eastAsia="zh-CN"/>
        </w:rPr>
        <w:t>六</w:t>
      </w:r>
      <w:r>
        <w:rPr>
          <w:rFonts w:hint="eastAsia" w:ascii="宋体" w:hAnsi="宋体" w:eastAsia="宋体" w:cs="宋体"/>
          <w:color w:val="auto"/>
          <w:kern w:val="2"/>
          <w:sz w:val="21"/>
          <w:highlight w:val="none"/>
          <w:lang w:val="en-US"/>
        </w:rPr>
        <w:t>十三条安全及质量重大问题“熔断机制”情形的，其投标将被否决。</w:t>
      </w:r>
      <w:r>
        <w:rPr>
          <w:rFonts w:hint="eastAsia" w:asciiTheme="minorEastAsia" w:hAnsiTheme="minorEastAsia" w:eastAsiaTheme="minorEastAsia" w:cstheme="minorEastAsia"/>
          <w:color w:val="auto"/>
          <w:sz w:val="21"/>
          <w:szCs w:val="22"/>
          <w:highlight w:val="none"/>
        </w:rPr>
        <w:t>即使投标人在投标截止日尚不存在上述情况，但在中标通知书到达之日前，出现上述情况的，招标人亦有权取消其中标资格。</w:t>
      </w:r>
    </w:p>
    <w:p>
      <w:pPr>
        <w:tabs>
          <w:tab w:val="left" w:pos="1134"/>
        </w:tabs>
        <w:wordWrap w:val="0"/>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6</w:t>
      </w:r>
      <w:r>
        <w:rPr>
          <w:rFonts w:hint="eastAsia" w:ascii="宋体" w:hAnsi="宋体" w:eastAsia="宋体" w:cs="宋体"/>
          <w:color w:val="auto"/>
          <w:highlight w:val="none"/>
        </w:rPr>
        <w:t>）</w:t>
      </w:r>
      <w:r>
        <w:rPr>
          <w:rFonts w:hint="eastAsia" w:asciiTheme="minorEastAsia" w:hAnsiTheme="minorEastAsia" w:eastAsiaTheme="minorEastAsia" w:cstheme="minorEastAsia"/>
          <w:color w:val="auto"/>
          <w:sz w:val="21"/>
          <w:szCs w:val="22"/>
          <w:highlight w:val="none"/>
        </w:rPr>
        <w:t>根据最高人民法院、国家发展改革委、国家铁路局等九部门联合印发的《关于在招标投标活动中对失信被执行人实施联合惩戒的通知》（法〔2016〕285号），投标人不得被人民法院列为失信被执行人。投标人不得存在违法失信行为，不得被“信用中国”网站（www.creditchina.gov.cn）列入严重失信主体名单。即使投标人在开标当日未出现被列入失信被执行人或严重失信主体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7</w:t>
      </w:r>
      <w:r>
        <w:rPr>
          <w:rFonts w:hint="eastAsia" w:ascii="宋体" w:hAnsi="宋体" w:eastAsia="宋体" w:cs="宋体"/>
          <w:color w:val="auto"/>
          <w:highlight w:val="none"/>
        </w:rPr>
        <w:t>）投标人不得被市场监督管理机关在国家企业信用信息公示系统中列入严重违法失信企业名单或列入经营异常名录信息。投标人需同时在商务文件中提供在国家企业信用信息公示系统（www.gsxt.gov.cn）查询的，包含“营业执照信息”、“列入严重违法失信企业名单（黑名单）”、“列入经营异常名录信息”、“行政处罚信息”、“清算信息”的查询结果（查询日期应在投标截止日前20天内，查询结果应为网站自动生成的PDF文件的电子版）。如投标人未提供企业信用信息公示报告，或提供的报告不符合招标文件规定的格式与内容，或报告内容被评标委员会认定有异议的，投标人的“列入经营异常名录信息”和“列入严重违法失信企业名单（黑名单）信息”以评标委员会在国家企业信用信息公示系统（www.gsxt.gov.cn）查询的结果为准。投标人未提供或提供的企业信用信息公示报告不符合招标文件规定的格式与内容的，评标委员会将会对投标人进行不利评价。投标人提供虚假企业信用信息公示报告的，按照虚假投标进行否决，并根据《国家电网有限公司供应商关系管理办法》进行相应处理</w:t>
      </w:r>
      <w:r>
        <w:rPr>
          <w:rFonts w:hint="eastAsia" w:ascii="宋体" w:hAnsi="宋体" w:eastAsia="宋体" w:cs="宋体"/>
          <w:color w:val="auto"/>
          <w:highlight w:val="none"/>
          <w:lang w:eastAsia="zh-CN"/>
        </w:rPr>
        <w:t>。即使投标人在开标当日未出现被市场监督管理机关列入经营异常名录或严重违法失信企业名单的情形，但在中标通知书到达之日前，存在上述情形的，招标人有权取消其中标资格。</w:t>
      </w:r>
    </w:p>
    <w:p>
      <w:pPr>
        <w:tabs>
          <w:tab w:val="left" w:pos="1134"/>
        </w:tabs>
        <w:adjustRightInd w:val="0"/>
        <w:snapToGrid w:val="0"/>
        <w:spacing w:line="400" w:lineRule="exact"/>
        <w:ind w:firstLine="420" w:firstLineChars="200"/>
        <w:rPr>
          <w:rFonts w:hint="eastAsia"/>
          <w:lang w:eastAsia="zh-CN"/>
        </w:rPr>
      </w:pPr>
      <w:r>
        <w:rPr>
          <w:rFonts w:hint="eastAsia" w:ascii="宋体" w:hAnsi="宋体" w:eastAsia="宋体" w:cs="宋体"/>
          <w:color w:val="auto"/>
          <w:highlight w:val="none"/>
        </w:rPr>
        <w:t>（</w:t>
      </w:r>
      <w:r>
        <w:rPr>
          <w:rFonts w:hint="eastAsia" w:ascii="宋体" w:hAnsi="宋体" w:eastAsia="宋体" w:cs="宋体"/>
          <w:color w:val="auto"/>
          <w:highlight w:val="none"/>
          <w:lang w:val="en-US" w:eastAsia="zh-CN"/>
        </w:rPr>
        <w:t>8</w:t>
      </w:r>
      <w:r>
        <w:rPr>
          <w:rFonts w:hint="eastAsia" w:ascii="宋体" w:hAnsi="宋体" w:eastAsia="宋体" w:cs="宋体"/>
          <w:color w:val="auto"/>
          <w:highlight w:val="none"/>
        </w:rPr>
        <w:t>）</w:t>
      </w:r>
      <w:r>
        <w:rPr>
          <w:rFonts w:hint="eastAsia"/>
        </w:rPr>
        <w:t>通用资质要求</w:t>
      </w:r>
      <w:r>
        <w:rPr>
          <w:rFonts w:hint="eastAsia"/>
          <w:lang w:eastAsia="zh-CN"/>
        </w:rPr>
        <w:t>：</w:t>
      </w:r>
    </w:p>
    <w:p>
      <w:pPr>
        <w:adjustRightInd w:val="0"/>
        <w:spacing w:line="440" w:lineRule="exact"/>
        <w:ind w:firstLine="420" w:firstLineChars="200"/>
      </w:pPr>
      <w:r>
        <w:rPr>
          <w:rFonts w:hint="eastAsia"/>
        </w:rPr>
        <w:t>1）必须具有完成</w:t>
      </w:r>
      <w:r>
        <w:rPr>
          <w:rFonts w:hint="eastAsia"/>
          <w:lang w:val="en-US" w:eastAsia="zh-CN"/>
        </w:rPr>
        <w:t>招标</w:t>
      </w:r>
      <w:r>
        <w:rPr>
          <w:rFonts w:hint="eastAsia"/>
        </w:rPr>
        <w:t>项目所需的场地、设施设备以及试验检测能力。</w:t>
      </w:r>
    </w:p>
    <w:p>
      <w:pPr>
        <w:adjustRightInd w:val="0"/>
        <w:spacing w:line="440" w:lineRule="exact"/>
        <w:ind w:firstLine="420" w:firstLineChars="200"/>
      </w:pPr>
      <w:r>
        <w:rPr>
          <w:rFonts w:hint="eastAsia"/>
        </w:rPr>
        <w:t>2）完成过与</w:t>
      </w:r>
      <w:r>
        <w:rPr>
          <w:rFonts w:hint="eastAsia"/>
          <w:lang w:val="en-US" w:eastAsia="zh-CN"/>
        </w:rPr>
        <w:t>招标</w:t>
      </w:r>
      <w:r>
        <w:rPr>
          <w:rFonts w:hint="eastAsia"/>
        </w:rPr>
        <w:t>项目相类似的同等或以上技术要求的项目。</w:t>
      </w:r>
    </w:p>
    <w:p>
      <w:pPr>
        <w:adjustRightInd w:val="0"/>
        <w:spacing w:line="440" w:lineRule="exact"/>
        <w:ind w:firstLine="420" w:firstLineChars="200"/>
      </w:pPr>
      <w:r>
        <w:rPr>
          <w:rFonts w:hint="eastAsia"/>
        </w:rPr>
        <w:t>3）取得</w:t>
      </w:r>
      <w:r>
        <w:rPr>
          <w:rFonts w:hint="eastAsia"/>
          <w:lang w:val="en-US" w:eastAsia="zh-CN"/>
        </w:rPr>
        <w:t>招标</w:t>
      </w:r>
      <w:r>
        <w:rPr>
          <w:rFonts w:hint="eastAsia"/>
        </w:rPr>
        <w:t>人要求的有效认证证书及年检记录。</w:t>
      </w:r>
    </w:p>
    <w:p>
      <w:pPr>
        <w:adjustRightInd w:val="0"/>
        <w:spacing w:line="440" w:lineRule="exact"/>
        <w:ind w:firstLine="420" w:firstLineChars="200"/>
      </w:pPr>
      <w:r>
        <w:rPr>
          <w:rFonts w:hint="eastAsia"/>
        </w:rPr>
        <w:t>4）取得国家法律、法规、部门规章及规范标准规定的有效许可证。</w:t>
      </w:r>
    </w:p>
    <w:p>
      <w:pPr>
        <w:adjustRightInd w:val="0"/>
        <w:spacing w:line="440" w:lineRule="exact"/>
        <w:ind w:firstLine="420" w:firstLineChars="200"/>
      </w:pPr>
      <w:r>
        <w:rPr>
          <w:rFonts w:hint="eastAsia"/>
        </w:rPr>
        <w:t>5）提供的同类服务未因该服务原因出现过事故或出现过事故，但已采取了有效的整改措施及善后处理，并得到国家电网公司系统的验证。</w:t>
      </w:r>
    </w:p>
    <w:p>
      <w:pPr>
        <w:adjustRightInd w:val="0"/>
        <w:spacing w:line="440" w:lineRule="exact"/>
        <w:ind w:firstLine="420" w:firstLineChars="200"/>
      </w:pPr>
      <w:r>
        <w:rPr>
          <w:rFonts w:hint="eastAsia"/>
        </w:rPr>
        <w:t>6）在合同执行过程中，未因</w:t>
      </w:r>
      <w:r>
        <w:rPr>
          <w:rFonts w:hint="eastAsia"/>
          <w:lang w:val="en-US" w:eastAsia="zh-CN"/>
        </w:rPr>
        <w:t>投标</w:t>
      </w:r>
      <w:r>
        <w:rPr>
          <w:rFonts w:hint="eastAsia"/>
          <w:lang w:eastAsia="zh-CN"/>
        </w:rPr>
        <w:t>人</w:t>
      </w:r>
      <w:r>
        <w:rPr>
          <w:rFonts w:hint="eastAsia"/>
        </w:rPr>
        <w:t>的交付拖延问题而严重影响施工和工程进度；或出现过其它重大问题，但已采取了有效的整改措施及善后处理，并得到国家电网公司系统的验证。</w:t>
      </w:r>
    </w:p>
    <w:p>
      <w:pPr>
        <w:adjustRightInd w:val="0"/>
        <w:spacing w:line="440" w:lineRule="exact"/>
        <w:ind w:firstLine="420" w:firstLineChars="200"/>
      </w:pPr>
      <w:r>
        <w:rPr>
          <w:rFonts w:hint="eastAsia"/>
        </w:rPr>
        <w:t>7）在国内招投标活动、合同履行、后续服务过程中，未受到国家电网公司、其所属单位的质量或履约服务投诉。</w:t>
      </w:r>
    </w:p>
    <w:p>
      <w:pPr>
        <w:tabs>
          <w:tab w:val="left" w:pos="1134"/>
        </w:tabs>
        <w:adjustRightInd w:val="0"/>
        <w:snapToGrid w:val="0"/>
        <w:spacing w:line="400" w:lineRule="exact"/>
        <w:ind w:firstLine="420" w:firstLineChars="200"/>
        <w:rPr>
          <w:rFonts w:hint="eastAsia"/>
        </w:rPr>
      </w:pPr>
      <w:r>
        <w:rPr>
          <w:rFonts w:hint="eastAsia"/>
        </w:rPr>
        <w:t>8）</w:t>
      </w:r>
      <w:r>
        <w:rPr>
          <w:rFonts w:hint="eastAsia"/>
          <w:lang w:val="en-US" w:eastAsia="zh-CN"/>
        </w:rPr>
        <w:t>投标</w:t>
      </w:r>
      <w:r>
        <w:rPr>
          <w:rFonts w:hint="eastAsia"/>
          <w:lang w:eastAsia="zh-CN"/>
        </w:rPr>
        <w:t>人</w:t>
      </w:r>
      <w:r>
        <w:rPr>
          <w:rFonts w:hint="eastAsia"/>
        </w:rPr>
        <w:t>不得存在下列情形之一</w:t>
      </w:r>
    </w:p>
    <w:p>
      <w:pPr>
        <w:adjustRightInd w:val="0"/>
        <w:spacing w:line="440" w:lineRule="exact"/>
        <w:ind w:firstLine="420" w:firstLineChars="200"/>
      </w:pPr>
      <w:r>
        <w:rPr>
          <w:rFonts w:hint="eastAsia"/>
        </w:rPr>
        <w:t>设计项目：</w:t>
      </w:r>
    </w:p>
    <w:p>
      <w:pPr>
        <w:adjustRightInd w:val="0"/>
        <w:spacing w:line="440" w:lineRule="exact"/>
        <w:ind w:firstLine="420" w:firstLineChars="200"/>
      </w:pPr>
      <w:r>
        <w:rPr>
          <w:rFonts w:hint="eastAsia"/>
          <w:lang w:val="en-US" w:eastAsia="zh-CN"/>
        </w:rPr>
        <w:t>A.</w:t>
      </w:r>
      <w:r>
        <w:rPr>
          <w:rFonts w:hint="eastAsia"/>
        </w:rPr>
        <w:t>为</w:t>
      </w:r>
      <w:r>
        <w:rPr>
          <w:rFonts w:hint="eastAsia"/>
          <w:lang w:val="en-US" w:eastAsia="zh-CN"/>
        </w:rPr>
        <w:t>招标</w:t>
      </w:r>
      <w:r>
        <w:rPr>
          <w:rFonts w:hint="eastAsia"/>
        </w:rPr>
        <w:t>人不具有独立法人资格的附属机构（单位）；</w:t>
      </w:r>
    </w:p>
    <w:p>
      <w:pPr>
        <w:adjustRightInd w:val="0"/>
        <w:spacing w:line="440" w:lineRule="exact"/>
        <w:ind w:firstLine="420" w:firstLineChars="200"/>
      </w:pPr>
      <w:r>
        <w:rPr>
          <w:rFonts w:hint="eastAsia"/>
          <w:lang w:val="en-US" w:eastAsia="zh-CN"/>
        </w:rPr>
        <w:t>B.</w:t>
      </w:r>
      <w:r>
        <w:rPr>
          <w:rFonts w:hint="eastAsia"/>
        </w:rPr>
        <w:t>为</w:t>
      </w:r>
      <w:r>
        <w:rPr>
          <w:rFonts w:hint="eastAsia"/>
          <w:lang w:val="en-US" w:eastAsia="zh-CN"/>
        </w:rPr>
        <w:t>招标</w:t>
      </w:r>
      <w:r>
        <w:rPr>
          <w:rFonts w:hint="eastAsia"/>
        </w:rPr>
        <w:t>项目前期工作提供咨询服务的，但设计施工工程总承包除外；</w:t>
      </w:r>
    </w:p>
    <w:p>
      <w:pPr>
        <w:adjustRightInd w:val="0"/>
        <w:spacing w:line="440" w:lineRule="exact"/>
        <w:ind w:firstLine="420" w:firstLineChars="200"/>
      </w:pPr>
      <w:r>
        <w:rPr>
          <w:rFonts w:hint="eastAsia"/>
          <w:lang w:val="en-US" w:eastAsia="zh-CN"/>
        </w:rPr>
        <w:t>C.</w:t>
      </w:r>
      <w:r>
        <w:rPr>
          <w:rFonts w:hint="eastAsia"/>
        </w:rPr>
        <w:t>为本</w:t>
      </w:r>
      <w:r>
        <w:rPr>
          <w:rFonts w:hint="eastAsia"/>
          <w:lang w:val="en-US" w:eastAsia="zh-CN"/>
        </w:rPr>
        <w:t>招标</w:t>
      </w:r>
      <w:r>
        <w:rPr>
          <w:rFonts w:hint="eastAsia"/>
        </w:rPr>
        <w:t>项目的监理人；</w:t>
      </w:r>
    </w:p>
    <w:p>
      <w:pPr>
        <w:adjustRightInd w:val="0"/>
        <w:spacing w:line="440" w:lineRule="exact"/>
        <w:ind w:firstLine="420" w:firstLineChars="200"/>
      </w:pPr>
      <w:r>
        <w:rPr>
          <w:rFonts w:hint="eastAsia"/>
          <w:lang w:val="en-US" w:eastAsia="zh-CN"/>
        </w:rPr>
        <w:t>D.</w:t>
      </w:r>
      <w:r>
        <w:rPr>
          <w:rFonts w:hint="eastAsia"/>
        </w:rPr>
        <w:t>为本</w:t>
      </w:r>
      <w:r>
        <w:rPr>
          <w:rFonts w:hint="eastAsia"/>
          <w:lang w:val="en-US" w:eastAsia="zh-CN"/>
        </w:rPr>
        <w:t>招标</w:t>
      </w:r>
      <w:r>
        <w:rPr>
          <w:rFonts w:hint="eastAsia"/>
        </w:rPr>
        <w:t>项目的代建人；</w:t>
      </w:r>
    </w:p>
    <w:p>
      <w:pPr>
        <w:adjustRightInd w:val="0"/>
        <w:spacing w:line="440" w:lineRule="exact"/>
        <w:ind w:firstLine="420" w:firstLineChars="200"/>
      </w:pPr>
      <w:r>
        <w:rPr>
          <w:rFonts w:hint="eastAsia"/>
          <w:lang w:val="en-US" w:eastAsia="zh-CN"/>
        </w:rPr>
        <w:t>E.</w:t>
      </w:r>
      <w:r>
        <w:rPr>
          <w:rFonts w:hint="eastAsia"/>
        </w:rPr>
        <w:t>为本</w:t>
      </w:r>
      <w:r>
        <w:rPr>
          <w:rFonts w:hint="eastAsia"/>
          <w:lang w:val="en-US" w:eastAsia="zh-CN"/>
        </w:rPr>
        <w:t>招标</w:t>
      </w:r>
      <w:r>
        <w:rPr>
          <w:rFonts w:hint="eastAsia"/>
        </w:rPr>
        <w:t>项目提供</w:t>
      </w:r>
      <w:r>
        <w:rPr>
          <w:rFonts w:hint="eastAsia"/>
          <w:lang w:val="en-US" w:eastAsia="zh-CN"/>
        </w:rPr>
        <w:t>招标</w:t>
      </w:r>
      <w:r>
        <w:rPr>
          <w:rFonts w:hint="eastAsia"/>
        </w:rPr>
        <w:t>代理服务的；</w:t>
      </w:r>
    </w:p>
    <w:p>
      <w:pPr>
        <w:adjustRightInd w:val="0"/>
        <w:spacing w:line="440" w:lineRule="exact"/>
        <w:ind w:firstLine="420" w:firstLineChars="200"/>
      </w:pPr>
      <w:r>
        <w:rPr>
          <w:rFonts w:hint="eastAsia"/>
          <w:lang w:val="en-US" w:eastAsia="zh-CN"/>
        </w:rPr>
        <w:t>F.</w:t>
      </w:r>
      <w:r>
        <w:rPr>
          <w:rFonts w:hint="eastAsia"/>
        </w:rPr>
        <w:t>被责令停业的；</w:t>
      </w:r>
    </w:p>
    <w:p>
      <w:pPr>
        <w:adjustRightInd w:val="0"/>
        <w:spacing w:line="440" w:lineRule="exact"/>
        <w:ind w:firstLine="420" w:firstLineChars="200"/>
      </w:pPr>
      <w:r>
        <w:rPr>
          <w:rFonts w:hint="eastAsia"/>
          <w:lang w:val="en-US" w:eastAsia="zh-CN"/>
        </w:rPr>
        <w:t>G.</w:t>
      </w:r>
      <w:r>
        <w:rPr>
          <w:rFonts w:hint="eastAsia"/>
        </w:rPr>
        <w:t>被暂停或取消投标资格的；</w:t>
      </w:r>
    </w:p>
    <w:p>
      <w:pPr>
        <w:adjustRightInd w:val="0"/>
        <w:spacing w:line="440" w:lineRule="exact"/>
        <w:ind w:firstLine="420" w:firstLineChars="200"/>
      </w:pPr>
      <w:r>
        <w:rPr>
          <w:rFonts w:hint="eastAsia"/>
          <w:lang w:val="en-US" w:eastAsia="zh-CN"/>
        </w:rPr>
        <w:t>H.</w:t>
      </w:r>
      <w:r>
        <w:rPr>
          <w:rFonts w:hint="eastAsia"/>
        </w:rPr>
        <w:t>财产被接管或冻结的；</w:t>
      </w:r>
    </w:p>
    <w:p>
      <w:pPr>
        <w:adjustRightInd w:val="0"/>
        <w:spacing w:line="440" w:lineRule="exact"/>
        <w:ind w:firstLine="420" w:firstLineChars="200"/>
      </w:pPr>
      <w:r>
        <w:rPr>
          <w:rFonts w:hint="eastAsia"/>
          <w:lang w:val="en-US" w:eastAsia="zh-CN"/>
        </w:rPr>
        <w:t>I.</w:t>
      </w:r>
      <w:r>
        <w:rPr>
          <w:rFonts w:hint="eastAsia"/>
        </w:rPr>
        <w:t>在最近三年内有骗取中标或严重违约或重大工程质量问题的；</w:t>
      </w:r>
    </w:p>
    <w:p>
      <w:pPr>
        <w:adjustRightInd w:val="0"/>
        <w:spacing w:line="440" w:lineRule="exact"/>
        <w:ind w:firstLine="420" w:firstLineChars="200"/>
      </w:pPr>
      <w:r>
        <w:rPr>
          <w:rFonts w:hint="eastAsia"/>
          <w:lang w:val="en-US" w:eastAsia="zh-CN"/>
        </w:rPr>
        <w:t>J.</w:t>
      </w:r>
      <w:r>
        <w:rPr>
          <w:rFonts w:hint="eastAsia"/>
        </w:rPr>
        <w:t>与本</w:t>
      </w:r>
      <w:r>
        <w:rPr>
          <w:rFonts w:hint="eastAsia"/>
          <w:lang w:val="en-US" w:eastAsia="zh-CN"/>
        </w:rPr>
        <w:t>招标</w:t>
      </w:r>
      <w:r>
        <w:rPr>
          <w:rFonts w:hint="eastAsia"/>
        </w:rPr>
        <w:t>项目的监理人或代建人或招标代理机构同为一个法定代表人的；</w:t>
      </w:r>
    </w:p>
    <w:p>
      <w:pPr>
        <w:adjustRightInd w:val="0"/>
        <w:spacing w:line="440" w:lineRule="exact"/>
        <w:ind w:firstLine="420" w:firstLineChars="200"/>
      </w:pPr>
      <w:r>
        <w:rPr>
          <w:rFonts w:hint="eastAsia"/>
          <w:lang w:val="en-US" w:eastAsia="zh-CN"/>
        </w:rPr>
        <w:t>K.</w:t>
      </w:r>
      <w:r>
        <w:rPr>
          <w:rFonts w:hint="eastAsia"/>
        </w:rPr>
        <w:t>与本</w:t>
      </w:r>
      <w:r>
        <w:rPr>
          <w:rFonts w:hint="eastAsia"/>
          <w:lang w:val="en-US" w:eastAsia="zh-CN"/>
        </w:rPr>
        <w:t>招标</w:t>
      </w:r>
      <w:r>
        <w:rPr>
          <w:rFonts w:hint="eastAsia"/>
        </w:rPr>
        <w:t>项目的监理人或代建人或招标代理机构相互任职或工作的。</w:t>
      </w:r>
    </w:p>
    <w:p>
      <w:pPr>
        <w:adjustRightInd w:val="0"/>
        <w:spacing w:line="440" w:lineRule="exact"/>
        <w:ind w:firstLine="420" w:firstLineChars="200"/>
      </w:pPr>
      <w:r>
        <w:rPr>
          <w:rFonts w:hint="eastAsia"/>
        </w:rPr>
        <w:t>施工项目：</w:t>
      </w:r>
    </w:p>
    <w:p>
      <w:pPr>
        <w:adjustRightInd w:val="0"/>
        <w:spacing w:line="440" w:lineRule="exact"/>
        <w:ind w:firstLine="420" w:firstLineChars="200"/>
      </w:pPr>
      <w:r>
        <w:rPr>
          <w:rFonts w:hint="eastAsia"/>
          <w:lang w:val="en-US" w:eastAsia="zh-CN"/>
        </w:rPr>
        <w:t>A.</w:t>
      </w:r>
      <w:r>
        <w:rPr>
          <w:rFonts w:hint="eastAsia"/>
        </w:rPr>
        <w:t>为</w:t>
      </w:r>
      <w:r>
        <w:rPr>
          <w:rFonts w:hint="eastAsia"/>
          <w:lang w:val="en-US" w:eastAsia="zh-CN"/>
        </w:rPr>
        <w:t>招标</w:t>
      </w:r>
      <w:r>
        <w:rPr>
          <w:rFonts w:hint="eastAsia"/>
        </w:rPr>
        <w:t>人不具有独立法人资格的附属机构（单位）；</w:t>
      </w:r>
    </w:p>
    <w:p>
      <w:pPr>
        <w:adjustRightInd w:val="0"/>
        <w:spacing w:line="440" w:lineRule="exact"/>
        <w:ind w:firstLine="420" w:firstLineChars="200"/>
      </w:pPr>
      <w:r>
        <w:rPr>
          <w:rFonts w:hint="eastAsia"/>
          <w:lang w:val="en-US" w:eastAsia="zh-CN"/>
        </w:rPr>
        <w:t>B.</w:t>
      </w:r>
      <w:r>
        <w:rPr>
          <w:rFonts w:hint="eastAsia"/>
        </w:rPr>
        <w:t>为本</w:t>
      </w:r>
      <w:r>
        <w:rPr>
          <w:rFonts w:hint="eastAsia"/>
          <w:lang w:val="en-US" w:eastAsia="zh-CN"/>
        </w:rPr>
        <w:t>招标</w:t>
      </w:r>
      <w:r>
        <w:rPr>
          <w:rFonts w:hint="eastAsia"/>
        </w:rPr>
        <w:t xml:space="preserve">项目前期准备提供设计或咨询服务的，但设计施工工程总承包除外； </w:t>
      </w:r>
    </w:p>
    <w:p>
      <w:pPr>
        <w:adjustRightInd w:val="0"/>
        <w:spacing w:line="440" w:lineRule="exact"/>
        <w:ind w:firstLine="420" w:firstLineChars="200"/>
      </w:pPr>
      <w:r>
        <w:rPr>
          <w:rFonts w:hint="eastAsia"/>
          <w:lang w:val="en-US" w:eastAsia="zh-CN"/>
        </w:rPr>
        <w:t>C.</w:t>
      </w:r>
      <w:r>
        <w:rPr>
          <w:rFonts w:hint="eastAsia"/>
        </w:rPr>
        <w:t>为本</w:t>
      </w:r>
      <w:r>
        <w:rPr>
          <w:rFonts w:hint="eastAsia"/>
          <w:lang w:val="en-US" w:eastAsia="zh-CN"/>
        </w:rPr>
        <w:t>招标</w:t>
      </w:r>
      <w:r>
        <w:rPr>
          <w:rFonts w:hint="eastAsia"/>
        </w:rPr>
        <w:t>项目的监理人；</w:t>
      </w:r>
    </w:p>
    <w:p>
      <w:pPr>
        <w:adjustRightInd w:val="0"/>
        <w:spacing w:line="440" w:lineRule="exact"/>
        <w:ind w:firstLine="420" w:firstLineChars="200"/>
      </w:pPr>
      <w:r>
        <w:rPr>
          <w:rFonts w:hint="eastAsia"/>
          <w:lang w:val="en-US" w:eastAsia="zh-CN"/>
        </w:rPr>
        <w:t>D.</w:t>
      </w:r>
      <w:r>
        <w:rPr>
          <w:rFonts w:hint="eastAsia"/>
        </w:rPr>
        <w:t>为本</w:t>
      </w:r>
      <w:r>
        <w:rPr>
          <w:rFonts w:hint="eastAsia"/>
          <w:lang w:val="en-US" w:eastAsia="zh-CN"/>
        </w:rPr>
        <w:t>招标</w:t>
      </w:r>
      <w:r>
        <w:rPr>
          <w:rFonts w:hint="eastAsia"/>
        </w:rPr>
        <w:t xml:space="preserve">项目的代建人； </w:t>
      </w:r>
    </w:p>
    <w:p>
      <w:pPr>
        <w:adjustRightInd w:val="0"/>
        <w:spacing w:line="440" w:lineRule="exact"/>
        <w:ind w:firstLine="420" w:firstLineChars="200"/>
      </w:pPr>
      <w:r>
        <w:rPr>
          <w:rFonts w:hint="eastAsia"/>
          <w:lang w:val="en-US" w:eastAsia="zh-CN"/>
        </w:rPr>
        <w:t>E.</w:t>
      </w:r>
      <w:r>
        <w:rPr>
          <w:rFonts w:hint="eastAsia"/>
        </w:rPr>
        <w:t>为本</w:t>
      </w:r>
      <w:r>
        <w:rPr>
          <w:rFonts w:hint="eastAsia"/>
          <w:lang w:val="en-US" w:eastAsia="zh-CN"/>
        </w:rPr>
        <w:t>招标</w:t>
      </w:r>
      <w:r>
        <w:rPr>
          <w:rFonts w:hint="eastAsia"/>
        </w:rPr>
        <w:t>项目提供</w:t>
      </w:r>
      <w:r>
        <w:rPr>
          <w:rFonts w:hint="eastAsia"/>
          <w:lang w:val="en-US" w:eastAsia="zh-CN"/>
        </w:rPr>
        <w:t>招标</w:t>
      </w:r>
      <w:r>
        <w:rPr>
          <w:rFonts w:hint="eastAsia"/>
        </w:rPr>
        <w:t xml:space="preserve">代理服务的； </w:t>
      </w:r>
    </w:p>
    <w:p>
      <w:pPr>
        <w:adjustRightInd w:val="0"/>
        <w:spacing w:line="440" w:lineRule="exact"/>
        <w:ind w:firstLine="420" w:firstLineChars="200"/>
      </w:pPr>
      <w:r>
        <w:rPr>
          <w:rFonts w:hint="eastAsia"/>
          <w:lang w:val="en-US" w:eastAsia="zh-CN"/>
        </w:rPr>
        <w:t>F.</w:t>
      </w:r>
      <w:r>
        <w:rPr>
          <w:rFonts w:hint="eastAsia"/>
        </w:rPr>
        <w:t>与本</w:t>
      </w:r>
      <w:r>
        <w:rPr>
          <w:rFonts w:hint="eastAsia"/>
          <w:lang w:val="en-US" w:eastAsia="zh-CN"/>
        </w:rPr>
        <w:t>招标</w:t>
      </w:r>
      <w:r>
        <w:rPr>
          <w:rFonts w:hint="eastAsia"/>
        </w:rPr>
        <w:t>项目的监理人或代建人或招标代理机构同为一个法定代表人的；</w:t>
      </w:r>
    </w:p>
    <w:p>
      <w:pPr>
        <w:adjustRightInd w:val="0"/>
        <w:spacing w:line="440" w:lineRule="exact"/>
        <w:ind w:firstLine="420" w:firstLineChars="200"/>
      </w:pPr>
      <w:r>
        <w:rPr>
          <w:rFonts w:hint="eastAsia"/>
          <w:lang w:val="en-US" w:eastAsia="zh-CN"/>
        </w:rPr>
        <w:t>G.</w:t>
      </w:r>
      <w:r>
        <w:rPr>
          <w:rFonts w:hint="eastAsia"/>
        </w:rPr>
        <w:t>与本</w:t>
      </w:r>
      <w:r>
        <w:rPr>
          <w:rFonts w:hint="eastAsia"/>
          <w:lang w:val="en-US" w:eastAsia="zh-CN"/>
        </w:rPr>
        <w:t>招标</w:t>
      </w:r>
      <w:r>
        <w:rPr>
          <w:rFonts w:hint="eastAsia"/>
        </w:rPr>
        <w:t>项目的监理人或代建人或招标代理机构相互任职或工作的；</w:t>
      </w:r>
    </w:p>
    <w:p>
      <w:pPr>
        <w:adjustRightInd w:val="0"/>
        <w:spacing w:line="440" w:lineRule="exact"/>
        <w:ind w:firstLine="420" w:firstLineChars="200"/>
      </w:pPr>
      <w:r>
        <w:rPr>
          <w:rFonts w:hint="eastAsia"/>
          <w:lang w:val="en-US" w:eastAsia="zh-CN"/>
        </w:rPr>
        <w:t>H.</w:t>
      </w:r>
      <w:r>
        <w:rPr>
          <w:rFonts w:hint="eastAsia"/>
        </w:rPr>
        <w:t>被责令停业的；</w:t>
      </w:r>
    </w:p>
    <w:p>
      <w:pPr>
        <w:adjustRightInd w:val="0"/>
        <w:spacing w:line="440" w:lineRule="exact"/>
        <w:ind w:firstLine="420" w:firstLineChars="200"/>
      </w:pPr>
      <w:r>
        <w:rPr>
          <w:rFonts w:hint="eastAsia"/>
          <w:lang w:val="en-US" w:eastAsia="zh-CN"/>
        </w:rPr>
        <w:t>I.</w:t>
      </w:r>
      <w:r>
        <w:rPr>
          <w:rFonts w:hint="eastAsia"/>
        </w:rPr>
        <w:t>被暂停或取消投标资格的；</w:t>
      </w:r>
    </w:p>
    <w:p>
      <w:pPr>
        <w:adjustRightInd w:val="0"/>
        <w:spacing w:line="440" w:lineRule="exact"/>
        <w:ind w:firstLine="420" w:firstLineChars="200"/>
      </w:pPr>
      <w:r>
        <w:rPr>
          <w:rFonts w:hint="eastAsia"/>
          <w:lang w:val="en-US" w:eastAsia="zh-CN"/>
        </w:rPr>
        <w:t>J.</w:t>
      </w:r>
      <w:r>
        <w:rPr>
          <w:rFonts w:hint="eastAsia"/>
        </w:rPr>
        <w:t>财产被接管或冻结的；</w:t>
      </w:r>
    </w:p>
    <w:p>
      <w:pPr>
        <w:adjustRightInd w:val="0"/>
        <w:spacing w:line="440" w:lineRule="exact"/>
        <w:ind w:firstLine="420" w:firstLineChars="200"/>
      </w:pPr>
      <w:r>
        <w:rPr>
          <w:rFonts w:hint="eastAsia"/>
          <w:lang w:val="en-US" w:eastAsia="zh-CN"/>
        </w:rPr>
        <w:t>K.</w:t>
      </w:r>
      <w:r>
        <w:rPr>
          <w:rFonts w:hint="eastAsia"/>
        </w:rPr>
        <w:t>在最近三年内有骗取中标或严重违约或重大工程质量问题的。</w:t>
      </w:r>
    </w:p>
    <w:p>
      <w:pPr>
        <w:adjustRightInd w:val="0"/>
        <w:spacing w:line="440" w:lineRule="exact"/>
        <w:ind w:firstLine="420" w:firstLineChars="200"/>
      </w:pPr>
      <w:r>
        <w:rPr>
          <w:rFonts w:hint="eastAsia"/>
        </w:rPr>
        <w:t>监理项目：</w:t>
      </w:r>
    </w:p>
    <w:p>
      <w:pPr>
        <w:adjustRightInd w:val="0"/>
        <w:spacing w:line="440" w:lineRule="exact"/>
        <w:ind w:firstLine="420" w:firstLineChars="200"/>
      </w:pPr>
      <w:r>
        <w:rPr>
          <w:rFonts w:hint="eastAsia"/>
          <w:lang w:val="en-US" w:eastAsia="zh-CN"/>
        </w:rPr>
        <w:t>A.</w:t>
      </w:r>
      <w:r>
        <w:rPr>
          <w:rFonts w:hint="eastAsia"/>
        </w:rPr>
        <w:t>为</w:t>
      </w:r>
      <w:r>
        <w:rPr>
          <w:rFonts w:hint="eastAsia"/>
          <w:lang w:val="en-US" w:eastAsia="zh-CN"/>
        </w:rPr>
        <w:t>招标</w:t>
      </w:r>
      <w:r>
        <w:rPr>
          <w:rFonts w:hint="eastAsia"/>
        </w:rPr>
        <w:t>人不具有独立法人资格的附属机构（单位）；</w:t>
      </w:r>
    </w:p>
    <w:p>
      <w:pPr>
        <w:adjustRightInd w:val="0"/>
        <w:spacing w:line="440" w:lineRule="exact"/>
        <w:ind w:firstLine="420" w:firstLineChars="200"/>
      </w:pPr>
      <w:r>
        <w:rPr>
          <w:rFonts w:hint="eastAsia"/>
          <w:lang w:val="en-US" w:eastAsia="zh-CN"/>
        </w:rPr>
        <w:t>B.</w:t>
      </w:r>
      <w:r>
        <w:rPr>
          <w:rFonts w:hint="eastAsia"/>
        </w:rPr>
        <w:t>为本</w:t>
      </w:r>
      <w:r>
        <w:rPr>
          <w:rFonts w:hint="eastAsia"/>
          <w:lang w:val="en-US" w:eastAsia="zh-CN"/>
        </w:rPr>
        <w:t>招标</w:t>
      </w:r>
      <w:r>
        <w:rPr>
          <w:rFonts w:hint="eastAsia"/>
        </w:rPr>
        <w:t xml:space="preserve">项目前期准备提供设计或咨询服务的，但设计施工工程总承包除外； </w:t>
      </w:r>
    </w:p>
    <w:p>
      <w:pPr>
        <w:adjustRightInd w:val="0"/>
        <w:spacing w:line="440" w:lineRule="exact"/>
        <w:ind w:firstLine="420" w:firstLineChars="200"/>
      </w:pPr>
      <w:r>
        <w:rPr>
          <w:rFonts w:hint="eastAsia"/>
          <w:lang w:val="en-US" w:eastAsia="zh-CN"/>
        </w:rPr>
        <w:t>C.</w:t>
      </w:r>
      <w:r>
        <w:rPr>
          <w:rFonts w:hint="eastAsia"/>
        </w:rPr>
        <w:t>为本</w:t>
      </w:r>
      <w:r>
        <w:rPr>
          <w:rFonts w:hint="eastAsia"/>
          <w:lang w:val="en-US" w:eastAsia="zh-CN"/>
        </w:rPr>
        <w:t>招标</w:t>
      </w:r>
      <w:r>
        <w:rPr>
          <w:rFonts w:hint="eastAsia"/>
        </w:rPr>
        <w:t>项目提供</w:t>
      </w:r>
      <w:r>
        <w:rPr>
          <w:rFonts w:hint="eastAsia"/>
          <w:lang w:val="en-US" w:eastAsia="zh-CN"/>
        </w:rPr>
        <w:t>招标</w:t>
      </w:r>
      <w:r>
        <w:rPr>
          <w:rFonts w:hint="eastAsia"/>
        </w:rPr>
        <w:t xml:space="preserve">代理服务的； </w:t>
      </w:r>
    </w:p>
    <w:p>
      <w:pPr>
        <w:adjustRightInd w:val="0"/>
        <w:spacing w:line="440" w:lineRule="exact"/>
        <w:ind w:firstLine="420" w:firstLineChars="200"/>
      </w:pPr>
      <w:r>
        <w:rPr>
          <w:rFonts w:hint="eastAsia"/>
          <w:lang w:val="en-US" w:eastAsia="zh-CN"/>
        </w:rPr>
        <w:t>D.</w:t>
      </w:r>
      <w:r>
        <w:rPr>
          <w:rFonts w:hint="eastAsia"/>
        </w:rPr>
        <w:t>与本</w:t>
      </w:r>
      <w:r>
        <w:rPr>
          <w:rFonts w:hint="eastAsia"/>
          <w:lang w:val="en-US" w:eastAsia="zh-CN"/>
        </w:rPr>
        <w:t>招标</w:t>
      </w:r>
      <w:r>
        <w:rPr>
          <w:rFonts w:hint="eastAsia"/>
        </w:rPr>
        <w:t>项目的招标代理机构同为一个法定代表人的；</w:t>
      </w:r>
    </w:p>
    <w:p>
      <w:pPr>
        <w:adjustRightInd w:val="0"/>
        <w:spacing w:line="440" w:lineRule="exact"/>
        <w:ind w:firstLine="420" w:firstLineChars="200"/>
      </w:pPr>
      <w:r>
        <w:rPr>
          <w:rFonts w:hint="eastAsia"/>
          <w:lang w:val="en-US" w:eastAsia="zh-CN"/>
        </w:rPr>
        <w:t>E.</w:t>
      </w:r>
      <w:r>
        <w:rPr>
          <w:rFonts w:hint="eastAsia"/>
        </w:rPr>
        <w:t>与本</w:t>
      </w:r>
      <w:r>
        <w:rPr>
          <w:rFonts w:hint="eastAsia"/>
          <w:lang w:val="en-US" w:eastAsia="zh-CN"/>
        </w:rPr>
        <w:t>招标</w:t>
      </w:r>
      <w:r>
        <w:rPr>
          <w:rFonts w:hint="eastAsia"/>
        </w:rPr>
        <w:t>项目的招标代理机构相互任职或工作的；</w:t>
      </w:r>
    </w:p>
    <w:p>
      <w:pPr>
        <w:adjustRightInd w:val="0"/>
        <w:spacing w:line="440" w:lineRule="exact"/>
        <w:ind w:firstLine="420" w:firstLineChars="200"/>
      </w:pPr>
      <w:r>
        <w:rPr>
          <w:rFonts w:hint="eastAsia"/>
          <w:lang w:val="en-US" w:eastAsia="zh-CN"/>
        </w:rPr>
        <w:t>F.</w:t>
      </w:r>
      <w:r>
        <w:rPr>
          <w:rFonts w:hint="eastAsia"/>
        </w:rPr>
        <w:t>被责令停业的；</w:t>
      </w:r>
    </w:p>
    <w:p>
      <w:pPr>
        <w:adjustRightInd w:val="0"/>
        <w:spacing w:line="440" w:lineRule="exact"/>
        <w:ind w:firstLine="420" w:firstLineChars="200"/>
      </w:pPr>
      <w:r>
        <w:rPr>
          <w:rFonts w:hint="eastAsia"/>
          <w:lang w:val="en-US" w:eastAsia="zh-CN"/>
        </w:rPr>
        <w:t>G.</w:t>
      </w:r>
      <w:r>
        <w:rPr>
          <w:rFonts w:hint="eastAsia"/>
        </w:rPr>
        <w:t>被暂停或取消投标资格的；</w:t>
      </w:r>
    </w:p>
    <w:p>
      <w:pPr>
        <w:adjustRightInd w:val="0"/>
        <w:spacing w:line="440" w:lineRule="exact"/>
        <w:ind w:firstLine="420" w:firstLineChars="200"/>
      </w:pPr>
      <w:r>
        <w:rPr>
          <w:rFonts w:hint="eastAsia"/>
          <w:lang w:val="en-US" w:eastAsia="zh-CN"/>
        </w:rPr>
        <w:t>H.</w:t>
      </w:r>
      <w:r>
        <w:rPr>
          <w:rFonts w:hint="eastAsia"/>
        </w:rPr>
        <w:t>财产被接管或冻结的；</w:t>
      </w:r>
    </w:p>
    <w:p>
      <w:pPr>
        <w:adjustRightInd w:val="0"/>
        <w:spacing w:line="440" w:lineRule="exact"/>
        <w:ind w:firstLine="420" w:firstLineChars="200"/>
      </w:pPr>
      <w:r>
        <w:rPr>
          <w:rFonts w:hint="eastAsia"/>
          <w:lang w:val="en-US" w:eastAsia="zh-CN"/>
        </w:rPr>
        <w:t>I.</w:t>
      </w:r>
      <w:r>
        <w:rPr>
          <w:rFonts w:hint="eastAsia"/>
        </w:rPr>
        <w:t>在最近三年内有骗取中标或严重违约或重大工程质量问题的。</w:t>
      </w:r>
    </w:p>
    <w:p>
      <w:pPr>
        <w:adjustRightInd w:val="0"/>
        <w:spacing w:line="440" w:lineRule="exact"/>
        <w:ind w:firstLine="420" w:firstLineChars="200"/>
      </w:pPr>
      <w:r>
        <w:rPr>
          <w:rFonts w:hint="eastAsia"/>
        </w:rPr>
        <w:t>其他服务项目：</w:t>
      </w:r>
    </w:p>
    <w:p>
      <w:pPr>
        <w:adjustRightInd w:val="0"/>
        <w:spacing w:line="440" w:lineRule="exact"/>
        <w:ind w:firstLine="420" w:firstLineChars="200"/>
      </w:pPr>
      <w:r>
        <w:rPr>
          <w:rFonts w:hint="eastAsia"/>
          <w:lang w:val="en-US" w:eastAsia="zh-CN"/>
        </w:rPr>
        <w:t>A.</w:t>
      </w:r>
      <w:r>
        <w:rPr>
          <w:rFonts w:hint="eastAsia"/>
        </w:rPr>
        <w:t>为</w:t>
      </w:r>
      <w:r>
        <w:rPr>
          <w:rFonts w:hint="eastAsia"/>
          <w:lang w:val="en-US" w:eastAsia="zh-CN"/>
        </w:rPr>
        <w:t>招标</w:t>
      </w:r>
      <w:r>
        <w:rPr>
          <w:rFonts w:hint="eastAsia"/>
        </w:rPr>
        <w:t xml:space="preserve">人不具有独立法人资格的附属机构（单位）； </w:t>
      </w:r>
    </w:p>
    <w:p>
      <w:pPr>
        <w:adjustRightInd w:val="0"/>
        <w:spacing w:line="440" w:lineRule="exact"/>
        <w:ind w:firstLine="420" w:firstLineChars="200"/>
      </w:pPr>
      <w:r>
        <w:rPr>
          <w:rFonts w:hint="eastAsia"/>
          <w:lang w:val="en-US" w:eastAsia="zh-CN"/>
        </w:rPr>
        <w:t>B.</w:t>
      </w:r>
      <w:r>
        <w:rPr>
          <w:rFonts w:hint="eastAsia"/>
        </w:rPr>
        <w:t>为本</w:t>
      </w:r>
      <w:r>
        <w:rPr>
          <w:rFonts w:hint="eastAsia"/>
          <w:lang w:val="en-US" w:eastAsia="zh-CN"/>
        </w:rPr>
        <w:t>招标</w:t>
      </w:r>
      <w:r>
        <w:rPr>
          <w:rFonts w:hint="eastAsia"/>
        </w:rPr>
        <w:t>项目提供</w:t>
      </w:r>
      <w:r>
        <w:rPr>
          <w:rFonts w:hint="eastAsia"/>
          <w:lang w:val="en-US" w:eastAsia="zh-CN"/>
        </w:rPr>
        <w:t>招标</w:t>
      </w:r>
      <w:r>
        <w:rPr>
          <w:rFonts w:hint="eastAsia"/>
        </w:rPr>
        <w:t xml:space="preserve">代理服务的； </w:t>
      </w:r>
    </w:p>
    <w:p>
      <w:pPr>
        <w:adjustRightInd w:val="0"/>
        <w:spacing w:line="440" w:lineRule="exact"/>
        <w:ind w:firstLine="420" w:firstLineChars="200"/>
      </w:pPr>
      <w:r>
        <w:rPr>
          <w:rFonts w:hint="eastAsia"/>
          <w:lang w:val="en-US" w:eastAsia="zh-CN"/>
        </w:rPr>
        <w:t>C.</w:t>
      </w:r>
      <w:r>
        <w:rPr>
          <w:rFonts w:hint="eastAsia"/>
        </w:rPr>
        <w:t xml:space="preserve">被责令停业的； </w:t>
      </w:r>
    </w:p>
    <w:p>
      <w:pPr>
        <w:adjustRightInd w:val="0"/>
        <w:spacing w:line="440" w:lineRule="exact"/>
        <w:ind w:firstLine="420" w:firstLineChars="200"/>
      </w:pPr>
      <w:r>
        <w:rPr>
          <w:rFonts w:hint="eastAsia"/>
          <w:lang w:val="en-US" w:eastAsia="zh-CN"/>
        </w:rPr>
        <w:t>D.</w:t>
      </w:r>
      <w:r>
        <w:rPr>
          <w:rFonts w:hint="eastAsia"/>
        </w:rPr>
        <w:t>被暂停或取消</w:t>
      </w:r>
      <w:r>
        <w:rPr>
          <w:rFonts w:hint="eastAsia"/>
          <w:lang w:val="en-US" w:eastAsia="zh-CN"/>
        </w:rPr>
        <w:t>投标</w:t>
      </w:r>
      <w:r>
        <w:rPr>
          <w:rFonts w:hint="eastAsia"/>
        </w:rPr>
        <w:t xml:space="preserve">资格的； </w:t>
      </w:r>
    </w:p>
    <w:p>
      <w:pPr>
        <w:adjustRightInd w:val="0"/>
        <w:spacing w:line="440" w:lineRule="exact"/>
        <w:ind w:firstLine="420" w:firstLineChars="200"/>
      </w:pPr>
      <w:r>
        <w:rPr>
          <w:rFonts w:hint="eastAsia"/>
          <w:lang w:val="en-US" w:eastAsia="zh-CN"/>
        </w:rPr>
        <w:t>E.</w:t>
      </w:r>
      <w:r>
        <w:rPr>
          <w:rFonts w:hint="eastAsia"/>
        </w:rPr>
        <w:t>财产被接管或冻结的；</w:t>
      </w:r>
    </w:p>
    <w:p>
      <w:pPr>
        <w:adjustRightInd w:val="0"/>
        <w:spacing w:line="440" w:lineRule="exact"/>
        <w:ind w:firstLine="420" w:firstLineChars="200"/>
      </w:pPr>
      <w:r>
        <w:rPr>
          <w:rFonts w:hint="eastAsia"/>
          <w:lang w:val="en-US" w:eastAsia="zh-CN"/>
        </w:rPr>
        <w:t>F.</w:t>
      </w:r>
      <w:r>
        <w:rPr>
          <w:rFonts w:hint="eastAsia"/>
        </w:rPr>
        <w:t>在最近三年内有骗取</w:t>
      </w:r>
      <w:r>
        <w:rPr>
          <w:rFonts w:hint="eastAsia"/>
          <w:lang w:eastAsia="zh-CN"/>
        </w:rPr>
        <w:t>成交</w:t>
      </w:r>
      <w:r>
        <w:rPr>
          <w:rFonts w:hint="eastAsia"/>
        </w:rPr>
        <w:t>或严重违约或重大质量问题的；</w:t>
      </w:r>
    </w:p>
    <w:p>
      <w:pPr>
        <w:adjustRightInd w:val="0"/>
        <w:spacing w:line="440" w:lineRule="exact"/>
        <w:ind w:firstLine="420" w:firstLineChars="200"/>
      </w:pPr>
      <w:r>
        <w:rPr>
          <w:rFonts w:hint="eastAsia"/>
          <w:lang w:val="en-US" w:eastAsia="zh-CN"/>
        </w:rPr>
        <w:t>G.</w:t>
      </w:r>
      <w:r>
        <w:rPr>
          <w:rFonts w:hint="eastAsia"/>
        </w:rPr>
        <w:t>与本</w:t>
      </w:r>
      <w:r>
        <w:rPr>
          <w:rFonts w:hint="eastAsia"/>
          <w:lang w:val="en-US" w:eastAsia="zh-CN"/>
        </w:rPr>
        <w:t>招标</w:t>
      </w:r>
      <w:r>
        <w:rPr>
          <w:rFonts w:hint="eastAsia"/>
        </w:rPr>
        <w:t>项目的招标代理机构同为一个法定代表人的；</w:t>
      </w:r>
    </w:p>
    <w:p>
      <w:pPr>
        <w:spacing w:line="400" w:lineRule="exact"/>
        <w:ind w:firstLine="420" w:firstLineChars="200"/>
        <w:rPr>
          <w:rFonts w:hint="eastAsia" w:eastAsia="宋体"/>
        </w:rPr>
      </w:pPr>
      <w:r>
        <w:rPr>
          <w:rFonts w:hint="eastAsia" w:eastAsia="宋体"/>
          <w:lang w:val="en-US" w:eastAsia="zh-CN"/>
        </w:rPr>
        <w:t>H.</w:t>
      </w:r>
      <w:r>
        <w:rPr>
          <w:rFonts w:hint="eastAsia" w:eastAsia="宋体"/>
        </w:rPr>
        <w:t>与本</w:t>
      </w:r>
      <w:r>
        <w:rPr>
          <w:rFonts w:hint="eastAsia" w:eastAsia="宋体"/>
          <w:lang w:val="en-US" w:eastAsia="zh-CN"/>
        </w:rPr>
        <w:t>招标</w:t>
      </w:r>
      <w:r>
        <w:rPr>
          <w:rFonts w:hint="eastAsia" w:eastAsia="宋体"/>
        </w:rPr>
        <w:t>项目的招标代理机构相互任职或工作的。</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3.2投标人须满足相应招标项目的专用资格要求:</w:t>
      </w:r>
    </w:p>
    <w:p>
      <w:pPr>
        <w:pStyle w:val="14"/>
        <w:wordWrap w:val="0"/>
        <w:spacing w:after="0" w:line="400" w:lineRule="exact"/>
        <w:ind w:left="0" w:leftChars="0" w:firstLineChars="200"/>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详见招标公告附件</w:t>
      </w:r>
      <w:r>
        <w:rPr>
          <w:rFonts w:hint="eastAsia" w:ascii="宋体" w:hAnsi="宋体" w:eastAsia="宋体" w:cs="宋体"/>
          <w:color w:val="000000" w:themeColor="text1"/>
          <w:lang w:eastAsia="zh-CN"/>
          <w14:textFill>
            <w14:solidFill>
              <w14:schemeClr w14:val="tx1"/>
            </w14:solidFill>
          </w14:textFill>
        </w:rPr>
        <w:t>。</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3.3除专用资格要求中明确接受联合体投标的项目外，不接受联合体投标。</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3.4如接受联合体投标的，投标人还应遵守以下规定：</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（1）联合体各方均应满足3.1款和3.2款的规定。</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（2）联合体各方应按照招标文件提供的格式签订联合体协议书，明确联合体牵头人和各方的权利义务。</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（3）联合体牵头人代表联合体各方负责获取本项目的招标文件及投标工作。</w:t>
      </w:r>
    </w:p>
    <w:p>
      <w:pPr>
        <w:spacing w:line="400" w:lineRule="exact"/>
        <w:ind w:firstLine="420" w:firstLineChars="200"/>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（4）由同一专业的单位组成的联合体，按照资质等级较低的单位确定资质等级；不同专业分工由不同单位分别承担的，按照各自的专业资质确定联合体的资质。</w:t>
      </w:r>
    </w:p>
    <w:p>
      <w:pPr>
        <w:tabs>
          <w:tab w:val="left" w:pos="1134"/>
        </w:tabs>
        <w:adjustRightInd w:val="0"/>
        <w:snapToGrid w:val="0"/>
        <w:spacing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000000" w:themeColor="text1"/>
          <w14:textFill>
            <w14:solidFill>
              <w14:schemeClr w14:val="tx1"/>
            </w14:solidFill>
          </w14:textFill>
        </w:rPr>
        <w:t>（5）联合体各方不得再以自己名义单独或参加其他联合体在同一标包中投标。</w:t>
      </w:r>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eastAsia="宋体" w:cs="宋体"/>
          <w:b/>
          <w:bCs/>
          <w:color w:val="auto"/>
          <w:spacing w:val="7"/>
          <w:szCs w:val="21"/>
          <w:highlight w:val="none"/>
        </w:rPr>
        <w:t>3.2投标人须满足相应招标项目的专用资格要求</w:t>
      </w:r>
      <w:r>
        <w:rPr>
          <w:rFonts w:hint="eastAsia"/>
          <w:b/>
          <w:bCs/>
          <w:color w:val="auto"/>
          <w:spacing w:val="7"/>
          <w:szCs w:val="21"/>
          <w:highlight w:val="none"/>
        </w:rPr>
        <w:t>:</w:t>
      </w:r>
    </w:p>
    <w:p>
      <w:pPr>
        <w:tabs>
          <w:tab w:val="left" w:pos="1200"/>
          <w:tab w:val="left" w:pos="3112"/>
          <w:tab w:val="left" w:pos="4600"/>
        </w:tabs>
        <w:spacing w:line="400" w:lineRule="exact"/>
        <w:ind w:firstLine="420" w:firstLineChars="200"/>
        <w:rPr>
          <w:rFonts w:ascii="宋体" w:hAnsi="宋体"/>
          <w:color w:val="auto"/>
          <w:szCs w:val="21"/>
          <w:highlight w:val="none"/>
          <w:lang w:val="zh-CN"/>
        </w:rPr>
      </w:pPr>
      <w:r>
        <w:rPr>
          <w:rFonts w:hint="eastAsia" w:ascii="宋体" w:hAnsi="宋体"/>
          <w:color w:val="auto"/>
          <w:szCs w:val="21"/>
          <w:highlight w:val="none"/>
          <w:lang w:val="zh-CN"/>
        </w:rPr>
        <w:t>详见招标公告附件。</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3.3除专用资格要求中明确接受联合体投标的项目外，不接受联合体投标。</w:t>
      </w:r>
    </w:p>
    <w:p>
      <w:pPr>
        <w:tabs>
          <w:tab w:val="left" w:pos="1200"/>
          <w:tab w:val="left" w:pos="3112"/>
          <w:tab w:val="left" w:pos="4600"/>
        </w:tabs>
        <w:spacing w:line="400" w:lineRule="exact"/>
        <w:ind w:firstLine="450" w:firstLineChars="200"/>
        <w:rPr>
          <w:color w:val="auto"/>
          <w:spacing w:val="7"/>
          <w:szCs w:val="21"/>
          <w:highlight w:val="none"/>
        </w:rPr>
      </w:pPr>
      <w:r>
        <w:rPr>
          <w:rFonts w:hint="eastAsia" w:ascii="宋体" w:hAnsi="宋体" w:cs="宋体"/>
          <w:b/>
          <w:bCs/>
          <w:color w:val="auto"/>
          <w:spacing w:val="7"/>
          <w:szCs w:val="21"/>
          <w:highlight w:val="none"/>
        </w:rPr>
        <w:t>3.4</w:t>
      </w:r>
      <w:r>
        <w:rPr>
          <w:rFonts w:hint="eastAsia"/>
          <w:b/>
          <w:bCs/>
          <w:color w:val="auto"/>
          <w:spacing w:val="7"/>
          <w:szCs w:val="21"/>
          <w:highlight w:val="none"/>
        </w:rPr>
        <w:t>如接受联合体投标的，投标人还应遵守以下规定：</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（1）联合体各方均应满足</w:t>
      </w:r>
      <w:r>
        <w:rPr>
          <w:color w:val="auto"/>
          <w:kern w:val="2"/>
          <w:sz w:val="21"/>
          <w:highlight w:val="none"/>
        </w:rPr>
        <w:t>3.1款和3.2款的规定。</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2</w:t>
      </w:r>
      <w:r>
        <w:rPr>
          <w:rFonts w:hint="eastAsia"/>
          <w:color w:val="auto"/>
          <w:kern w:val="2"/>
          <w:sz w:val="21"/>
          <w:highlight w:val="none"/>
        </w:rPr>
        <w:t>）</w:t>
      </w:r>
      <w:r>
        <w:rPr>
          <w:color w:val="auto"/>
          <w:kern w:val="2"/>
          <w:sz w:val="21"/>
          <w:highlight w:val="none"/>
        </w:rPr>
        <w:t>联合体各方应按照招标文件提供的格式签订联合体协议书，明确联合体牵头人和各方的权利义务</w:t>
      </w:r>
      <w:r>
        <w:rPr>
          <w:rFonts w:hint="eastAsia"/>
          <w:color w:val="auto"/>
          <w:kern w:val="2"/>
          <w:sz w:val="21"/>
          <w:highlight w:val="none"/>
        </w:rPr>
        <w:t>。</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w:t>
      </w:r>
      <w:r>
        <w:rPr>
          <w:color w:val="auto"/>
          <w:kern w:val="2"/>
          <w:sz w:val="21"/>
          <w:highlight w:val="none"/>
        </w:rPr>
        <w:t>3</w:t>
      </w:r>
      <w:r>
        <w:rPr>
          <w:rFonts w:hint="eastAsia"/>
          <w:color w:val="auto"/>
          <w:kern w:val="2"/>
          <w:sz w:val="21"/>
          <w:highlight w:val="none"/>
        </w:rPr>
        <w:t>）联合体牵头人代表联合体各方负责获取本项目的招标文件及投标工作。</w:t>
      </w:r>
    </w:p>
    <w:p>
      <w:pPr>
        <w:pStyle w:val="19"/>
        <w:tabs>
          <w:tab w:val="left" w:pos="0"/>
        </w:tabs>
        <w:spacing w:line="400" w:lineRule="exact"/>
        <w:ind w:firstLine="420" w:firstLineChars="200"/>
        <w:jc w:val="both"/>
        <w:rPr>
          <w:color w:val="auto"/>
          <w:kern w:val="2"/>
          <w:sz w:val="21"/>
          <w:highlight w:val="none"/>
        </w:rPr>
      </w:pPr>
      <w:r>
        <w:rPr>
          <w:color w:val="auto"/>
          <w:kern w:val="2"/>
          <w:sz w:val="21"/>
          <w:highlight w:val="none"/>
        </w:rPr>
        <w:t>（4）</w:t>
      </w:r>
      <w:r>
        <w:rPr>
          <w:rFonts w:hint="eastAsia"/>
          <w:color w:val="auto"/>
          <w:kern w:val="2"/>
          <w:sz w:val="21"/>
          <w:highlight w:val="none"/>
        </w:rPr>
        <w:t>由同一专业的单位组成的联合体，按照资质等级较低的单位确定资质等级；不同专业分工由不同单位分别承担的，按照各自的专业资质确定联合体的资质。</w:t>
      </w:r>
    </w:p>
    <w:p>
      <w:pPr>
        <w:pStyle w:val="19"/>
        <w:tabs>
          <w:tab w:val="left" w:pos="0"/>
        </w:tabs>
        <w:spacing w:line="400" w:lineRule="exact"/>
        <w:ind w:firstLine="420" w:firstLineChars="200"/>
        <w:jc w:val="both"/>
        <w:rPr>
          <w:color w:val="auto"/>
          <w:kern w:val="2"/>
          <w:sz w:val="21"/>
          <w:highlight w:val="none"/>
        </w:rPr>
      </w:pPr>
      <w:r>
        <w:rPr>
          <w:color w:val="auto"/>
          <w:kern w:val="2"/>
          <w:sz w:val="21"/>
          <w:highlight w:val="none"/>
        </w:rPr>
        <w:t>（5）联合体各方不得再以自己名义单独或参加其他联合体在同一标包中投标。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3.5 除专用资格要求中明确接受代理商投标的项目外，不接受代理商投标。</w:t>
      </w:r>
    </w:p>
    <w:p>
      <w:pPr>
        <w:tabs>
          <w:tab w:val="left" w:pos="1200"/>
          <w:tab w:val="left" w:pos="3112"/>
          <w:tab w:val="left" w:pos="4600"/>
        </w:tabs>
        <w:spacing w:line="400" w:lineRule="exact"/>
        <w:ind w:firstLine="450" w:firstLineChars="200"/>
        <w:rPr>
          <w:rFonts w:hint="eastAsia" w:ascii="宋体" w:hAnsi="宋体" w:cs="宋体"/>
          <w:b/>
          <w:bCs/>
          <w:color w:val="auto"/>
          <w:spacing w:val="7"/>
          <w:szCs w:val="21"/>
          <w:highlight w:val="none"/>
        </w:rPr>
      </w:pPr>
      <w:r>
        <w:rPr>
          <w:rFonts w:hint="eastAsia" w:ascii="宋体" w:hAnsi="宋体" w:cs="宋体"/>
          <w:b/>
          <w:bCs/>
          <w:color w:val="auto"/>
          <w:spacing w:val="7"/>
          <w:szCs w:val="21"/>
          <w:highlight w:val="none"/>
        </w:rPr>
        <w:t>3.6 本次</w:t>
      </w:r>
      <w:r>
        <w:rPr>
          <w:rFonts w:hint="eastAsia" w:ascii="宋体" w:hAnsi="宋体" w:cs="宋体"/>
          <w:b/>
          <w:bCs/>
          <w:color w:val="auto"/>
          <w:spacing w:val="7"/>
          <w:szCs w:val="21"/>
          <w:highlight w:val="none"/>
          <w:lang w:val="en-US" w:eastAsia="zh-CN"/>
        </w:rPr>
        <w:t>招标</w:t>
      </w:r>
      <w:r>
        <w:rPr>
          <w:rFonts w:hint="eastAsia" w:ascii="宋体" w:hAnsi="宋体" w:cs="宋体"/>
          <w:b/>
          <w:bCs/>
          <w:color w:val="auto"/>
          <w:spacing w:val="7"/>
          <w:szCs w:val="21"/>
          <w:highlight w:val="none"/>
        </w:rPr>
        <w:t>不接受投标人委托中介机构或者中间人编制投标文件或代行办理投标事宜。</w:t>
      </w:r>
    </w:p>
    <w:p>
      <w:pPr>
        <w:tabs>
          <w:tab w:val="left" w:pos="1200"/>
          <w:tab w:val="left" w:pos="3112"/>
          <w:tab w:val="left" w:pos="4600"/>
        </w:tabs>
        <w:spacing w:line="400" w:lineRule="exact"/>
        <w:ind w:firstLine="450" w:firstLineChars="200"/>
        <w:rPr>
          <w:rFonts w:hint="eastAsia"/>
          <w:b/>
          <w:bCs/>
          <w:color w:val="auto"/>
          <w:spacing w:val="7"/>
          <w:szCs w:val="21"/>
          <w:highlight w:val="none"/>
        </w:rPr>
      </w:pPr>
      <w:r>
        <w:rPr>
          <w:rFonts w:hint="eastAsia" w:ascii="宋体" w:hAnsi="宋体" w:cs="宋体"/>
          <w:b/>
          <w:bCs/>
          <w:color w:val="auto"/>
          <w:spacing w:val="7"/>
          <w:szCs w:val="21"/>
          <w:highlight w:val="none"/>
        </w:rPr>
        <w:t xml:space="preserve">3.7 </w:t>
      </w:r>
      <w:r>
        <w:rPr>
          <w:rFonts w:hint="eastAsia"/>
          <w:b/>
          <w:bCs/>
          <w:color w:val="auto"/>
          <w:spacing w:val="7"/>
          <w:szCs w:val="21"/>
          <w:highlight w:val="none"/>
        </w:rPr>
        <w:t>各投标人均可就本次招标的部分或全部标包投标。</w:t>
      </w:r>
    </w:p>
    <w:p>
      <w:pPr>
        <w:adjustRightInd w:val="0"/>
        <w:snapToGrid w:val="0"/>
        <w:spacing w:line="400" w:lineRule="exact"/>
        <w:outlineLvl w:val="1"/>
        <w:rPr>
          <w:rFonts w:ascii="黑体" w:eastAsia="黑体"/>
          <w:b/>
          <w:color w:val="auto"/>
          <w:sz w:val="24"/>
          <w:highlight w:val="none"/>
        </w:rPr>
      </w:pPr>
      <w:bookmarkStart w:id="43" w:name="_bookmark5"/>
      <w:bookmarkEnd w:id="43"/>
      <w:bookmarkStart w:id="44" w:name="_Toc12413"/>
      <w:bookmarkStart w:id="45" w:name="_Toc19223"/>
      <w:bookmarkStart w:id="46" w:name="_Toc62551532"/>
      <w:bookmarkStart w:id="47" w:name="_Toc18436"/>
      <w:r>
        <w:rPr>
          <w:rFonts w:hint="eastAsia" w:ascii="黑体" w:eastAsia="黑体"/>
          <w:b/>
          <w:color w:val="auto"/>
          <w:sz w:val="24"/>
          <w:highlight w:val="none"/>
        </w:rPr>
        <w:t>4.</w:t>
      </w:r>
      <w:r>
        <w:rPr>
          <w:rFonts w:ascii="黑体" w:eastAsia="黑体"/>
          <w:b/>
          <w:color w:val="auto"/>
          <w:sz w:val="24"/>
          <w:highlight w:val="none"/>
        </w:rPr>
        <w:t>招标文件的获取</w:t>
      </w:r>
      <w:bookmarkEnd w:id="44"/>
      <w:bookmarkEnd w:id="45"/>
      <w:bookmarkEnd w:id="46"/>
      <w:bookmarkEnd w:id="47"/>
    </w:p>
    <w:p>
      <w:pPr>
        <w:tabs>
          <w:tab w:val="left" w:pos="1200"/>
          <w:tab w:val="left" w:pos="3112"/>
          <w:tab w:val="left" w:pos="4600"/>
        </w:tabs>
        <w:spacing w:line="400" w:lineRule="exact"/>
        <w:ind w:firstLine="450" w:firstLineChars="200"/>
        <w:rPr>
          <w:b/>
          <w:bCs/>
          <w:color w:val="auto"/>
          <w:spacing w:val="7"/>
          <w:szCs w:val="21"/>
          <w:highlight w:val="none"/>
        </w:rPr>
      </w:pPr>
      <w:r>
        <w:rPr>
          <w:rFonts w:hint="eastAsia" w:ascii="宋体" w:hAnsi="宋体" w:cs="宋体"/>
          <w:b/>
          <w:bCs/>
          <w:color w:val="auto"/>
          <w:spacing w:val="7"/>
          <w:szCs w:val="21"/>
          <w:highlight w:val="none"/>
        </w:rPr>
        <w:t>4.1</w:t>
      </w:r>
      <w:r>
        <w:rPr>
          <w:rFonts w:hint="eastAsia"/>
          <w:b/>
          <w:bCs/>
          <w:color w:val="auto"/>
          <w:spacing w:val="7"/>
          <w:szCs w:val="21"/>
          <w:highlight w:val="none"/>
        </w:rPr>
        <w:t xml:space="preserve"> 招标文件（电子文件）免费获取。</w:t>
      </w:r>
    </w:p>
    <w:p>
      <w:pPr>
        <w:pStyle w:val="19"/>
        <w:tabs>
          <w:tab w:val="left" w:pos="0"/>
        </w:tabs>
        <w:wordWrap w:val="0"/>
        <w:spacing w:line="400" w:lineRule="exact"/>
        <w:ind w:firstLine="420" w:firstLineChars="200"/>
        <w:jc w:val="both"/>
        <w:rPr>
          <w:color w:val="auto"/>
          <w:kern w:val="2"/>
          <w:sz w:val="21"/>
          <w:highlight w:val="none"/>
        </w:rPr>
      </w:pPr>
      <w:r>
        <w:rPr>
          <w:color w:val="auto"/>
          <w:kern w:val="2"/>
          <w:sz w:val="21"/>
          <w:highlight w:val="none"/>
          <w:lang w:val="en-US"/>
        </w:rPr>
        <w:t>4.</w:t>
      </w:r>
      <w:r>
        <w:rPr>
          <w:rFonts w:hint="eastAsia"/>
          <w:color w:val="auto"/>
          <w:kern w:val="2"/>
          <w:sz w:val="21"/>
          <w:highlight w:val="none"/>
          <w:lang w:val="en-US"/>
        </w:rPr>
        <w:t xml:space="preserve">2 </w:t>
      </w:r>
      <w:r>
        <w:rPr>
          <w:color w:val="auto"/>
          <w:kern w:val="2"/>
          <w:sz w:val="21"/>
          <w:highlight w:val="none"/>
        </w:rPr>
        <w:t>凡有意参加投标者</w:t>
      </w:r>
      <w:r>
        <w:rPr>
          <w:color w:val="auto"/>
          <w:kern w:val="2"/>
          <w:sz w:val="21"/>
          <w:highlight w:val="none"/>
          <w:lang w:val="en-US"/>
        </w:rPr>
        <w:t>，</w:t>
      </w:r>
      <w:r>
        <w:rPr>
          <w:color w:val="auto"/>
          <w:kern w:val="2"/>
          <w:sz w:val="21"/>
          <w:highlight w:val="none"/>
        </w:rPr>
        <w:t>请</w:t>
      </w:r>
      <w:r>
        <w:rPr>
          <w:rFonts w:ascii="宋体" w:hAnsi="宋体" w:eastAsia="宋体" w:cs="Times New Roman"/>
          <w:color w:val="auto"/>
          <w:kern w:val="2"/>
          <w:sz w:val="21"/>
          <w:highlight w:val="none"/>
        </w:rPr>
        <w:t>于</w:t>
      </w:r>
      <w:r>
        <w:rPr>
          <w:rFonts w:hint="eastAsia" w:cs="Times New Roman"/>
          <w:color w:val="auto"/>
          <w:kern w:val="2"/>
          <w:sz w:val="21"/>
          <w:highlight w:val="yellow"/>
          <w:lang w:val="en-US" w:eastAsia="zh-CN"/>
        </w:rPr>
        <w:t>2025</w:t>
      </w:r>
      <w:r>
        <w:rPr>
          <w:rFonts w:hint="eastAsia" w:ascii="宋体" w:hAnsi="宋体" w:eastAsia="宋体" w:cs="Times New Roman"/>
          <w:color w:val="auto"/>
          <w:kern w:val="2"/>
          <w:sz w:val="21"/>
          <w:highlight w:val="yellow"/>
        </w:rPr>
        <w:t>年</w:t>
      </w:r>
      <w:r>
        <w:rPr>
          <w:rFonts w:hint="eastAsia" w:cs="Times New Roman"/>
          <w:color w:val="auto"/>
          <w:kern w:val="2"/>
          <w:sz w:val="21"/>
          <w:highlight w:val="yellow"/>
          <w:lang w:val="en-US" w:eastAsia="zh-CN"/>
        </w:rPr>
        <w:t>12</w:t>
      </w:r>
      <w:r>
        <w:rPr>
          <w:rFonts w:hint="eastAsia" w:ascii="宋体" w:hAnsi="宋体" w:eastAsia="宋体" w:cs="Times New Roman"/>
          <w:color w:val="auto"/>
          <w:kern w:val="2"/>
          <w:sz w:val="21"/>
          <w:highlight w:val="yellow"/>
        </w:rPr>
        <w:t>月</w:t>
      </w:r>
      <w:r>
        <w:rPr>
          <w:rFonts w:hint="eastAsia" w:cs="Times New Roman"/>
          <w:color w:val="auto"/>
          <w:kern w:val="2"/>
          <w:sz w:val="21"/>
          <w:highlight w:val="yellow"/>
          <w:lang w:val="en-US" w:eastAsia="zh-CN"/>
        </w:rPr>
        <w:t>5</w:t>
      </w:r>
      <w:r>
        <w:rPr>
          <w:rFonts w:hint="eastAsia" w:ascii="宋体" w:hAnsi="宋体" w:eastAsia="宋体" w:cs="Times New Roman"/>
          <w:color w:val="auto"/>
          <w:kern w:val="2"/>
          <w:sz w:val="21"/>
          <w:highlight w:val="yellow"/>
        </w:rPr>
        <w:t>日-</w:t>
      </w:r>
      <w:r>
        <w:rPr>
          <w:rFonts w:hint="eastAsia" w:cs="Times New Roman"/>
          <w:color w:val="auto"/>
          <w:kern w:val="2"/>
          <w:sz w:val="21"/>
          <w:highlight w:val="yellow"/>
          <w:lang w:val="en-US" w:eastAsia="zh-CN"/>
        </w:rPr>
        <w:t>2025</w:t>
      </w:r>
      <w:r>
        <w:rPr>
          <w:rFonts w:hint="eastAsia" w:ascii="宋体" w:hAnsi="宋体" w:eastAsia="宋体" w:cs="Times New Roman"/>
          <w:color w:val="auto"/>
          <w:kern w:val="2"/>
          <w:sz w:val="21"/>
          <w:highlight w:val="yellow"/>
        </w:rPr>
        <w:t>年</w:t>
      </w:r>
      <w:r>
        <w:rPr>
          <w:rFonts w:hint="eastAsia" w:cs="Times New Roman"/>
          <w:color w:val="auto"/>
          <w:kern w:val="2"/>
          <w:sz w:val="21"/>
          <w:highlight w:val="yellow"/>
          <w:lang w:val="en-US" w:eastAsia="zh-CN"/>
        </w:rPr>
        <w:t>12</w:t>
      </w:r>
      <w:r>
        <w:rPr>
          <w:rFonts w:hint="eastAsia" w:ascii="宋体" w:hAnsi="宋体" w:eastAsia="宋体" w:cs="Times New Roman"/>
          <w:color w:val="auto"/>
          <w:kern w:val="2"/>
          <w:sz w:val="21"/>
          <w:highlight w:val="yellow"/>
        </w:rPr>
        <w:t>月</w:t>
      </w:r>
      <w:r>
        <w:rPr>
          <w:rFonts w:hint="eastAsia" w:cs="Times New Roman"/>
          <w:color w:val="auto"/>
          <w:kern w:val="2"/>
          <w:sz w:val="21"/>
          <w:highlight w:val="yellow"/>
          <w:lang w:val="en-US" w:eastAsia="zh-CN"/>
        </w:rPr>
        <w:t>15</w:t>
      </w:r>
      <w:r>
        <w:rPr>
          <w:rFonts w:hint="eastAsia" w:ascii="宋体" w:hAnsi="宋体" w:eastAsia="宋体" w:cs="Times New Roman"/>
          <w:color w:val="auto"/>
          <w:kern w:val="2"/>
          <w:sz w:val="21"/>
          <w:highlight w:val="yellow"/>
        </w:rPr>
        <w:t>日</w:t>
      </w:r>
      <w:r>
        <w:rPr>
          <w:rFonts w:hint="eastAsia" w:cs="Times New Roman"/>
          <w:color w:val="auto"/>
          <w:kern w:val="2"/>
          <w:sz w:val="21"/>
          <w:highlight w:val="yellow"/>
          <w:lang w:val="en-US" w:eastAsia="zh-CN"/>
        </w:rPr>
        <w:t>17</w:t>
      </w:r>
      <w:r>
        <w:rPr>
          <w:rFonts w:hint="eastAsia" w:ascii="宋体" w:hAnsi="宋体" w:eastAsia="宋体" w:cs="Times New Roman"/>
          <w:color w:val="auto"/>
          <w:kern w:val="2"/>
          <w:sz w:val="21"/>
          <w:highlight w:val="yellow"/>
        </w:rPr>
        <w:t>:</w:t>
      </w:r>
      <w:r>
        <w:rPr>
          <w:rFonts w:hint="eastAsia" w:cs="Times New Roman"/>
          <w:color w:val="auto"/>
          <w:kern w:val="2"/>
          <w:sz w:val="21"/>
          <w:highlight w:val="yellow"/>
          <w:lang w:val="en-US" w:eastAsia="zh-CN"/>
        </w:rPr>
        <w:t>00</w:t>
      </w:r>
      <w:r>
        <w:rPr>
          <w:rFonts w:ascii="宋体" w:hAnsi="宋体" w:eastAsia="宋体" w:cs="Times New Roman"/>
          <w:color w:val="auto"/>
          <w:kern w:val="2"/>
          <w:sz w:val="21"/>
          <w:highlight w:val="none"/>
          <w:lang w:val="en-US"/>
        </w:rPr>
        <w:t>（</w:t>
      </w:r>
      <w:r>
        <w:rPr>
          <w:color w:val="auto"/>
          <w:kern w:val="2"/>
          <w:sz w:val="21"/>
          <w:highlight w:val="none"/>
        </w:rPr>
        <w:t>北京时间</w:t>
      </w:r>
      <w:r>
        <w:rPr>
          <w:color w:val="auto"/>
          <w:kern w:val="2"/>
          <w:sz w:val="21"/>
          <w:highlight w:val="none"/>
          <w:lang w:val="en-US"/>
        </w:rPr>
        <w:t>，</w:t>
      </w:r>
      <w:r>
        <w:rPr>
          <w:color w:val="auto"/>
          <w:kern w:val="2"/>
          <w:sz w:val="21"/>
          <w:highlight w:val="none"/>
        </w:rPr>
        <w:t>下同</w:t>
      </w:r>
      <w:r>
        <w:rPr>
          <w:color w:val="auto"/>
          <w:kern w:val="2"/>
          <w:sz w:val="21"/>
          <w:highlight w:val="none"/>
          <w:lang w:val="en-US"/>
        </w:rPr>
        <w:t>），</w:t>
      </w:r>
      <w:r>
        <w:rPr>
          <w:rFonts w:hint="eastAsia"/>
          <w:color w:val="auto"/>
          <w:kern w:val="2"/>
          <w:sz w:val="21"/>
          <w:highlight w:val="none"/>
        </w:rPr>
        <w:t>登录招标人招投标交易平台信息系统</w:t>
      </w:r>
      <w:r>
        <w:rPr>
          <w:rFonts w:hint="eastAsia"/>
          <w:b/>
          <w:color w:val="auto"/>
          <w:kern w:val="2"/>
          <w:sz w:val="21"/>
          <w:highlight w:val="none"/>
          <w:lang w:val="en-US"/>
        </w:rPr>
        <w:t>（</w:t>
      </w:r>
      <w:r>
        <w:rPr>
          <w:rFonts w:hint="eastAsia" w:ascii="宋体" w:hAnsi="宋体" w:eastAsia="宋体" w:cs="宋体"/>
          <w:b/>
          <w:color w:val="auto"/>
          <w:sz w:val="21"/>
          <w:szCs w:val="21"/>
          <w:highlight w:val="none"/>
        </w:rPr>
        <w:t>国家电网有限公司电子商务平台https://ecp.sgcc.com.cn</w:t>
      </w:r>
      <w:r>
        <w:rPr>
          <w:rFonts w:hint="eastAsia"/>
          <w:color w:val="auto"/>
          <w:kern w:val="2"/>
          <w:sz w:val="21"/>
          <w:highlight w:val="none"/>
          <w:lang w:val="en-US"/>
        </w:rPr>
        <w:t>）</w:t>
      </w:r>
      <w:r>
        <w:rPr>
          <w:rFonts w:hint="eastAsia"/>
          <w:color w:val="auto"/>
          <w:kern w:val="2"/>
          <w:sz w:val="21"/>
          <w:highlight w:val="none"/>
        </w:rPr>
        <w:t>获取招标文件</w:t>
      </w:r>
      <w:r>
        <w:rPr>
          <w:rFonts w:hint="eastAsia"/>
          <w:color w:val="auto"/>
          <w:kern w:val="2"/>
          <w:sz w:val="21"/>
          <w:highlight w:val="none"/>
          <w:lang w:val="en-US"/>
        </w:rPr>
        <w:t>，</w:t>
      </w:r>
      <w:r>
        <w:rPr>
          <w:rFonts w:hint="eastAsia"/>
          <w:color w:val="auto"/>
          <w:kern w:val="2"/>
          <w:sz w:val="21"/>
          <w:highlight w:val="none"/>
        </w:rPr>
        <w:t>并按《电子招标投标办法》等国家法律法规要求</w:t>
      </w:r>
      <w:r>
        <w:rPr>
          <w:rFonts w:hint="eastAsia"/>
          <w:color w:val="auto"/>
          <w:kern w:val="2"/>
          <w:sz w:val="21"/>
          <w:highlight w:val="none"/>
          <w:lang w:val="en-US"/>
        </w:rPr>
        <w:t>，</w:t>
      </w:r>
      <w:r>
        <w:rPr>
          <w:rFonts w:hint="eastAsia"/>
          <w:color w:val="auto"/>
          <w:kern w:val="2"/>
          <w:sz w:val="21"/>
          <w:highlight w:val="none"/>
        </w:rPr>
        <w:t>到第三方认证机构办理</w:t>
      </w:r>
      <w:r>
        <w:rPr>
          <w:rFonts w:hint="eastAsia"/>
          <w:color w:val="auto"/>
          <w:kern w:val="2"/>
          <w:sz w:val="21"/>
          <w:highlight w:val="none"/>
          <w:lang w:val="en-US"/>
        </w:rPr>
        <w:t>CA</w:t>
      </w:r>
      <w:r>
        <w:rPr>
          <w:rFonts w:hint="eastAsia"/>
          <w:color w:val="auto"/>
          <w:kern w:val="2"/>
          <w:sz w:val="21"/>
          <w:highlight w:val="none"/>
        </w:rPr>
        <w:t>证书电子钥匙。投标人应妥善保管招标人招投标交易平台信息系统账号和密码，以及CA数字证书和密码，因上述账号、数字证书或密码保管不当造成的损失，由投标人自行承担。</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投标人应在招标人招投标交易平台信息系统注册并办理</w:t>
      </w:r>
      <w:r>
        <w:rPr>
          <w:color w:val="auto"/>
          <w:kern w:val="2"/>
          <w:sz w:val="21"/>
          <w:highlight w:val="none"/>
        </w:rPr>
        <w:t>CA</w:t>
      </w:r>
      <w:r>
        <w:rPr>
          <w:rFonts w:hint="eastAsia"/>
          <w:color w:val="auto"/>
          <w:kern w:val="2"/>
          <w:sz w:val="21"/>
          <w:highlight w:val="none"/>
        </w:rPr>
        <w:t>证书电子钥匙方可获取招标文件，电子钥匙的办理流程请登录招标人招投标交易平台信息系统首页“新手指引”→“电子钥匙办理须知及电子钥匙安装包”下载所有文件仔细阅读。电子钥匙的办理需要一定的时间，请潜在投标人高度重视。由于没有及时办理电子钥匙导致获取招标文件失败，由投标人自行承担相关责任。支持电话为：4009915500</w:t>
      </w:r>
    </w:p>
    <w:p>
      <w:pPr>
        <w:pStyle w:val="19"/>
        <w:tabs>
          <w:tab w:val="left" w:pos="0"/>
        </w:tabs>
        <w:spacing w:line="400" w:lineRule="exact"/>
        <w:ind w:firstLine="420" w:firstLineChars="200"/>
        <w:jc w:val="both"/>
        <w:rPr>
          <w:color w:val="auto"/>
          <w:kern w:val="2"/>
          <w:sz w:val="21"/>
          <w:highlight w:val="none"/>
        </w:rPr>
      </w:pPr>
      <w:r>
        <w:rPr>
          <w:color w:val="auto"/>
          <w:kern w:val="2"/>
          <w:sz w:val="21"/>
          <w:highlight w:val="none"/>
        </w:rPr>
        <w:t>4.3</w:t>
      </w:r>
      <w:r>
        <w:rPr>
          <w:rFonts w:hint="eastAsia"/>
          <w:color w:val="auto"/>
          <w:kern w:val="2"/>
          <w:sz w:val="21"/>
          <w:highlight w:val="none"/>
          <w:lang w:val="en-US" w:eastAsia="zh-CN"/>
        </w:rPr>
        <w:t xml:space="preserve"> </w:t>
      </w:r>
      <w:r>
        <w:rPr>
          <w:rFonts w:hint="eastAsia"/>
          <w:color w:val="auto"/>
          <w:kern w:val="2"/>
          <w:sz w:val="21"/>
          <w:highlight w:val="none"/>
        </w:rPr>
        <w:t>投标人需利用投标工具进行电子投标文件编制。投标工具下载方式：请各投标人在招标人招投标交易平台信息系统首页“下载专区→供应商投标工具”下载并安装。操作手册及注意事项见首页“操作说明→ECP2.0招标采购流程供应商操作手册“或“演示视频→投标工具新U+操作指导视频”。投标工具操作问题联系招标人招投标交易平台信息系统支持服务电话：010-63411000。使用投标工具电脑配置要求：内存大于8GB，64位操作系统。</w:t>
      </w:r>
    </w:p>
    <w:p>
      <w:pPr>
        <w:tabs>
          <w:tab w:val="left" w:pos="1200"/>
          <w:tab w:val="left" w:pos="3112"/>
          <w:tab w:val="left" w:pos="4600"/>
        </w:tabs>
        <w:spacing w:line="400" w:lineRule="exact"/>
        <w:ind w:firstLine="450" w:firstLineChars="200"/>
        <w:rPr>
          <w:rFonts w:hint="eastAsia" w:ascii="宋体" w:hAnsi="宋体" w:eastAsia="宋体" w:cs="宋体"/>
          <w:b/>
          <w:bCs/>
          <w:color w:val="auto"/>
          <w:spacing w:val="7"/>
          <w:szCs w:val="21"/>
          <w:highlight w:val="none"/>
        </w:rPr>
      </w:pPr>
      <w:r>
        <w:rPr>
          <w:rFonts w:hint="eastAsia" w:ascii="宋体" w:hAnsi="宋体" w:eastAsia="宋体" w:cs="宋体"/>
          <w:b/>
          <w:bCs/>
          <w:color w:val="auto"/>
          <w:spacing w:val="7"/>
          <w:szCs w:val="21"/>
          <w:highlight w:val="none"/>
        </w:rPr>
        <w:t>4.4注意事项</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420" w:firstLineChars="200"/>
        <w:textAlignment w:val="auto"/>
        <w:rPr>
          <w:rFonts w:hint="eastAsia" w:eastAsia="宋体" w:cs="Times New Roman"/>
          <w:lang w:val="en-US" w:eastAsia="zh-CN"/>
        </w:rPr>
      </w:pPr>
      <w:r>
        <w:rPr>
          <w:rFonts w:hint="eastAsia" w:ascii="宋体" w:hAnsi="宋体" w:eastAsia="宋体" w:cs="宋体"/>
          <w:lang w:val="en-US" w:eastAsia="zh-CN"/>
        </w:rPr>
        <w:t>4.4.1投</w:t>
      </w:r>
      <w:r>
        <w:rPr>
          <w:rFonts w:hint="eastAsia" w:eastAsia="宋体" w:cs="Times New Roman"/>
          <w:lang w:val="en-US" w:eastAsia="zh-CN"/>
        </w:rPr>
        <w:t>标人通过国家电网有限公司电子商务平台获取招标文件后，应登陆“鈞巧系统”（网址</w:t>
      </w:r>
      <w:r>
        <w:rPr>
          <w:rFonts w:hint="eastAsia" w:ascii="宋体" w:hAnsi="宋体" w:eastAsia="宋体" w:cs="宋体"/>
          <w:lang w:val="en-US" w:eastAsia="zh-CN"/>
        </w:rPr>
        <w:t>：http://202.100.20.94）</w:t>
      </w:r>
      <w:r>
        <w:rPr>
          <w:rFonts w:hint="eastAsia" w:eastAsia="宋体" w:cs="Times New Roman"/>
          <w:lang w:val="en-US" w:eastAsia="zh-CN"/>
        </w:rPr>
        <w:t>，按照《平台注册手册》完成企业注册。注册企业信息应与投标人企业在税务局预留开票信息一致</w:t>
      </w:r>
      <w:r>
        <w:rPr>
          <w:rFonts w:hint="eastAsia" w:eastAsia="宋体" w:cs="Times New Roman"/>
          <w:b/>
          <w:bCs/>
          <w:lang w:val="en-US" w:eastAsia="zh-CN"/>
        </w:rPr>
        <w:t>（具体开票信息请与各投标人财务部进行核对）。如因投标人上述信息填写有误造成无法开具发票或开具的发票信息有误，后果由投标人自行承担。</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420" w:firstLineChars="200"/>
        <w:textAlignment w:val="auto"/>
        <w:rPr>
          <w:rFonts w:hint="eastAsia" w:eastAsia="宋体" w:cs="Times New Roman"/>
          <w:lang w:val="en-US" w:eastAsia="zh-CN"/>
        </w:rPr>
      </w:pPr>
      <w:r>
        <w:rPr>
          <w:rFonts w:hint="eastAsia" w:eastAsia="宋体" w:cs="Times New Roman"/>
          <w:lang w:val="en-US" w:eastAsia="zh-CN"/>
        </w:rPr>
        <w:t>注册完成后，招标代理机构将在三个工作日内进行审核，审核通过后投标人可使用电子钥匙绑定企业账号（此处使用的电子钥匙与投标人在“国家电网新一代电子商务平台”使用的电子钥匙通用。如投标人未办理国家电网新一代电子商务平台电子钥匙，获取方式详见本章</w:t>
      </w:r>
      <w:r>
        <w:rPr>
          <w:rFonts w:hint="eastAsia" w:ascii="宋体" w:hAnsi="宋体" w:eastAsia="宋体" w:cs="宋体"/>
          <w:lang w:val="en-US" w:eastAsia="zh-CN"/>
        </w:rPr>
        <w:t>4.2</w:t>
      </w:r>
      <w:r>
        <w:rPr>
          <w:rFonts w:hint="eastAsia" w:eastAsia="宋体" w:cs="Times New Roman"/>
          <w:lang w:val="en-US" w:eastAsia="zh-CN"/>
        </w:rPr>
        <w:t>款），完成注册登陆。</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420" w:firstLineChars="200"/>
        <w:textAlignment w:val="auto"/>
        <w:rPr>
          <w:rFonts w:hint="eastAsia"/>
          <w:lang w:val="en-US" w:eastAsia="zh-CN"/>
        </w:rPr>
      </w:pPr>
      <w:r>
        <w:rPr>
          <w:rFonts w:hint="eastAsia" w:ascii="宋体" w:hAnsi="宋体" w:cs="宋体"/>
          <w:sz w:val="21"/>
          <w:szCs w:val="21"/>
          <w:lang w:val="en-US" w:eastAsia="zh-CN"/>
        </w:rPr>
        <w:t>4.4.2</w:t>
      </w:r>
      <w:r>
        <w:rPr>
          <w:rFonts w:hint="default" w:ascii="Times New Roman" w:hAnsi="Times New Roman" w:eastAsia="宋体" w:cs="Times New Roman"/>
          <w:color w:val="auto"/>
          <w:kern w:val="2"/>
          <w:highlight w:val="none"/>
          <w:lang w:bidi="zh-CN"/>
        </w:rPr>
        <w:t>为降低招标投标市场主体特别是中小微企业交易成本，优化招标投标领域营商环境，</w:t>
      </w:r>
      <w:r>
        <w:rPr>
          <w:rFonts w:hint="default" w:ascii="Times New Roman" w:hAnsi="Times New Roman" w:eastAsia="宋体" w:cs="Times New Roman"/>
          <w:color w:val="auto"/>
          <w:kern w:val="2"/>
          <w:highlight w:val="yellow"/>
          <w:lang w:bidi="zh-CN"/>
        </w:rPr>
        <w:t>本项目全面免收批次投标保证金，</w:t>
      </w:r>
      <w:r>
        <w:rPr>
          <w:rFonts w:hint="default" w:ascii="Times New Roman" w:hAnsi="Times New Roman" w:eastAsia="宋体" w:cs="Times New Roman"/>
          <w:b/>
          <w:bCs/>
          <w:color w:val="auto"/>
          <w:kern w:val="2"/>
          <w:highlight w:val="yellow"/>
          <w:lang w:bidi="zh-CN"/>
        </w:rPr>
        <w:t>请务必在投标文件中提供《投标保证信用承诺书》</w:t>
      </w:r>
      <w:r>
        <w:rPr>
          <w:rFonts w:hint="default" w:ascii="Times New Roman" w:hAnsi="Times New Roman" w:eastAsia="宋体" w:cs="Times New Roman"/>
          <w:color w:val="auto"/>
          <w:kern w:val="2"/>
          <w:highlight w:val="yellow"/>
          <w:lang w:bidi="zh-CN"/>
        </w:rPr>
        <w:t>（具体格式见招标文件</w:t>
      </w:r>
      <w:r>
        <w:rPr>
          <w:rFonts w:hint="eastAsia" w:ascii="Times New Roman" w:hAnsi="Times New Roman" w:cs="Times New Roman"/>
          <w:color w:val="auto"/>
          <w:kern w:val="2"/>
          <w:highlight w:val="yellow"/>
          <w:lang w:val="en-US" w:bidi="zh-CN"/>
        </w:rPr>
        <w:t>投标文件格式</w:t>
      </w:r>
      <w:r>
        <w:rPr>
          <w:rFonts w:hint="default" w:ascii="Times New Roman" w:hAnsi="Times New Roman" w:eastAsia="宋体" w:cs="Times New Roman"/>
          <w:color w:val="auto"/>
          <w:kern w:val="2"/>
          <w:highlight w:val="yellow"/>
          <w:lang w:bidi="zh-CN"/>
        </w:rPr>
        <w:t>），否则</w:t>
      </w:r>
      <w:r>
        <w:rPr>
          <w:rFonts w:hint="default" w:ascii="Times New Roman" w:hAnsi="Times New Roman" w:eastAsia="宋体" w:cs="Times New Roman"/>
          <w:color w:val="auto"/>
          <w:highlight w:val="yellow"/>
        </w:rPr>
        <w:t>投标人将承担投标失败的风险</w:t>
      </w:r>
      <w:r>
        <w:rPr>
          <w:rFonts w:hint="default" w:ascii="Times New Roman" w:hAnsi="Times New Roman" w:eastAsia="宋体" w:cs="Times New Roman"/>
          <w:color w:val="auto"/>
          <w:kern w:val="2"/>
          <w:highlight w:val="yellow"/>
          <w:lang w:bidi="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48" w:name="_bookmark6"/>
      <w:bookmarkEnd w:id="48"/>
      <w:bookmarkStart w:id="49" w:name="_Toc62551533"/>
      <w:bookmarkStart w:id="50" w:name="_Toc30381"/>
      <w:bookmarkStart w:id="51" w:name="_Toc31762"/>
      <w:bookmarkStart w:id="52" w:name="_Toc15733"/>
      <w:r>
        <w:rPr>
          <w:rFonts w:hint="eastAsia" w:ascii="黑体" w:eastAsia="黑体"/>
          <w:b/>
          <w:color w:val="auto"/>
          <w:sz w:val="24"/>
          <w:highlight w:val="none"/>
        </w:rPr>
        <w:t>5.</w:t>
      </w:r>
      <w:r>
        <w:rPr>
          <w:rFonts w:ascii="黑体" w:eastAsia="黑体"/>
          <w:b/>
          <w:color w:val="auto"/>
          <w:sz w:val="24"/>
          <w:highlight w:val="none"/>
        </w:rPr>
        <w:t>投标文件的</w:t>
      </w:r>
      <w:bookmarkEnd w:id="49"/>
      <w:bookmarkEnd w:id="50"/>
      <w:bookmarkEnd w:id="51"/>
      <w:bookmarkEnd w:id="52"/>
      <w:r>
        <w:rPr>
          <w:rFonts w:hint="eastAsia" w:ascii="黑体" w:eastAsia="黑体"/>
          <w:b/>
          <w:color w:val="auto"/>
          <w:sz w:val="24"/>
          <w:highlight w:val="none"/>
        </w:rPr>
        <w:t>提交</w:t>
      </w:r>
    </w:p>
    <w:p>
      <w:pPr>
        <w:tabs>
          <w:tab w:val="left" w:pos="1200"/>
          <w:tab w:val="left" w:pos="3112"/>
          <w:tab w:val="left" w:pos="4600"/>
        </w:tabs>
        <w:spacing w:line="400" w:lineRule="exact"/>
        <w:ind w:firstLine="448" w:firstLineChars="200"/>
        <w:rPr>
          <w:color w:val="auto"/>
          <w:spacing w:val="7"/>
          <w:highlight w:val="none"/>
        </w:rPr>
      </w:pPr>
      <w:bookmarkStart w:id="53" w:name="_bookmark7"/>
      <w:bookmarkEnd w:id="53"/>
      <w:r>
        <w:rPr>
          <w:rFonts w:hint="eastAsia" w:ascii="宋体" w:hAnsi="宋体" w:eastAsia="宋体" w:cs="宋体"/>
          <w:color w:val="auto"/>
          <w:spacing w:val="7"/>
          <w:highlight w:val="none"/>
        </w:rPr>
        <w:t>5.1</w:t>
      </w:r>
      <w:r>
        <w:rPr>
          <w:b/>
          <w:bCs/>
          <w:color w:val="auto"/>
          <w:spacing w:val="7"/>
          <w:highlight w:val="none"/>
        </w:rPr>
        <w:t>投标文件提交的截止时间（投标截止时间，下同）</w:t>
      </w:r>
      <w:r>
        <w:rPr>
          <w:rFonts w:hint="eastAsia"/>
          <w:b/>
          <w:bCs/>
          <w:color w:val="auto"/>
          <w:spacing w:val="7"/>
          <w:highlight w:val="none"/>
        </w:rPr>
        <w:t>为</w:t>
      </w:r>
      <w:r>
        <w:rPr>
          <w:rFonts w:hint="eastAsia" w:ascii="宋体" w:hAnsi="宋体" w:cs="宋体"/>
          <w:color w:val="auto"/>
          <w:kern w:val="2"/>
          <w:sz w:val="21"/>
          <w:highlight w:val="yellow"/>
          <w:lang w:val="en-US" w:eastAsia="zh-CN"/>
        </w:rPr>
        <w:t>2025</w:t>
      </w:r>
      <w:r>
        <w:rPr>
          <w:rFonts w:hint="eastAsia" w:ascii="宋体" w:hAnsi="宋体" w:eastAsia="宋体" w:cs="宋体"/>
          <w:color w:val="auto"/>
          <w:kern w:val="2"/>
          <w:sz w:val="21"/>
          <w:highlight w:val="yellow"/>
          <w:lang w:val="en-US"/>
        </w:rPr>
        <w:t>年</w:t>
      </w:r>
      <w:r>
        <w:rPr>
          <w:rFonts w:hint="eastAsia" w:ascii="宋体" w:hAnsi="宋体" w:cs="宋体"/>
          <w:color w:val="auto"/>
          <w:kern w:val="2"/>
          <w:sz w:val="21"/>
          <w:highlight w:val="yellow"/>
          <w:lang w:val="en-US" w:eastAsia="zh-CN"/>
        </w:rPr>
        <w:t>12</w:t>
      </w:r>
      <w:r>
        <w:rPr>
          <w:rFonts w:hint="eastAsia" w:ascii="宋体" w:hAnsi="宋体" w:eastAsia="宋体" w:cs="宋体"/>
          <w:color w:val="auto"/>
          <w:kern w:val="2"/>
          <w:sz w:val="21"/>
          <w:highlight w:val="yellow"/>
          <w:lang w:val="en-US"/>
        </w:rPr>
        <w:t>月</w:t>
      </w:r>
      <w:r>
        <w:rPr>
          <w:rFonts w:hint="eastAsia" w:ascii="宋体" w:hAnsi="宋体" w:cs="宋体"/>
          <w:color w:val="auto"/>
          <w:kern w:val="2"/>
          <w:sz w:val="21"/>
          <w:highlight w:val="yellow"/>
          <w:lang w:val="en-US" w:eastAsia="zh-CN"/>
        </w:rPr>
        <w:t>26</w:t>
      </w:r>
      <w:r>
        <w:rPr>
          <w:rFonts w:hint="eastAsia" w:ascii="宋体" w:hAnsi="宋体" w:eastAsia="宋体" w:cs="宋体"/>
          <w:color w:val="auto"/>
          <w:kern w:val="2"/>
          <w:sz w:val="21"/>
          <w:highlight w:val="yellow"/>
          <w:lang w:val="en-US"/>
        </w:rPr>
        <w:t>日</w:t>
      </w:r>
      <w:r>
        <w:rPr>
          <w:rFonts w:hint="eastAsia" w:ascii="宋体" w:hAnsi="宋体" w:cs="宋体"/>
          <w:color w:val="auto"/>
          <w:kern w:val="2"/>
          <w:sz w:val="21"/>
          <w:highlight w:val="yellow"/>
          <w:lang w:val="en-US" w:eastAsia="zh-CN"/>
        </w:rPr>
        <w:t>10</w:t>
      </w:r>
      <w:r>
        <w:rPr>
          <w:rFonts w:hint="eastAsia" w:ascii="宋体" w:hAnsi="宋体" w:eastAsia="宋体" w:cs="宋体"/>
          <w:color w:val="auto"/>
          <w:kern w:val="2"/>
          <w:sz w:val="21"/>
          <w:highlight w:val="yellow"/>
          <w:lang w:val="en-US"/>
        </w:rPr>
        <w:t>:</w:t>
      </w:r>
      <w:r>
        <w:rPr>
          <w:rFonts w:hint="eastAsia" w:ascii="宋体" w:hAnsi="宋体" w:cs="宋体"/>
          <w:color w:val="auto"/>
          <w:kern w:val="2"/>
          <w:sz w:val="21"/>
          <w:highlight w:val="yellow"/>
          <w:lang w:val="en-US" w:eastAsia="zh-CN"/>
        </w:rPr>
        <w:t>30</w:t>
      </w:r>
      <w:r>
        <w:rPr>
          <w:rFonts w:hint="eastAsia"/>
          <w:b/>
          <w:bCs/>
          <w:color w:val="auto"/>
          <w:spacing w:val="7"/>
          <w:highlight w:val="none"/>
        </w:rPr>
        <w:t>（北京时间）</w:t>
      </w:r>
      <w:r>
        <w:rPr>
          <w:rFonts w:hint="eastAsia"/>
          <w:color w:val="auto"/>
          <w:highlight w:val="none"/>
        </w:rPr>
        <w:t>。</w:t>
      </w:r>
    </w:p>
    <w:p>
      <w:pPr>
        <w:tabs>
          <w:tab w:val="left" w:pos="1200"/>
          <w:tab w:val="left" w:pos="3112"/>
          <w:tab w:val="left" w:pos="4600"/>
        </w:tabs>
        <w:spacing w:line="400" w:lineRule="exact"/>
        <w:ind w:firstLine="422" w:firstLineChars="200"/>
        <w:rPr>
          <w:rFonts w:ascii="宋体" w:hAnsi="宋体" w:cs="宋体"/>
          <w:bCs/>
          <w:color w:val="auto"/>
          <w:szCs w:val="21"/>
          <w:highlight w:val="none"/>
        </w:rPr>
      </w:pPr>
      <w:r>
        <w:rPr>
          <w:rFonts w:hint="eastAsia" w:ascii="宋体" w:hAnsi="宋体" w:cs="宋体"/>
          <w:b/>
          <w:color w:val="auto"/>
          <w:szCs w:val="21"/>
          <w:highlight w:val="none"/>
        </w:rPr>
        <w:t>投标文件提交时间：</w:t>
      </w:r>
      <w:r>
        <w:rPr>
          <w:rFonts w:hint="eastAsia" w:ascii="宋体" w:hAnsi="宋体" w:cs="宋体"/>
          <w:bCs/>
          <w:color w:val="auto"/>
          <w:szCs w:val="21"/>
          <w:highlight w:val="none"/>
        </w:rPr>
        <w:t>所有投标文件应当在投标截止时间前递交（提交）招标人。</w:t>
      </w:r>
    </w:p>
    <w:p>
      <w:pPr>
        <w:adjustRightInd w:val="0"/>
        <w:snapToGrid w:val="0"/>
        <w:spacing w:line="400" w:lineRule="exact"/>
        <w:ind w:firstLine="422" w:firstLineChars="200"/>
        <w:rPr>
          <w:b/>
          <w:color w:val="auto"/>
          <w:highlight w:val="none"/>
        </w:rPr>
      </w:pPr>
      <w:r>
        <w:rPr>
          <w:rFonts w:hint="eastAsia" w:ascii="宋体" w:hAnsi="宋体" w:cs="宋体"/>
          <w:b/>
          <w:color w:val="auto"/>
          <w:szCs w:val="21"/>
          <w:highlight w:val="none"/>
        </w:rPr>
        <w:t>投标文件提交地点：</w:t>
      </w:r>
      <w:r>
        <w:rPr>
          <w:rFonts w:hint="eastAsia"/>
          <w:bCs/>
          <w:color w:val="auto"/>
          <w:highlight w:val="none"/>
        </w:rPr>
        <w:t>电子投标文件提交招标人</w:t>
      </w:r>
      <w:r>
        <w:rPr>
          <w:rFonts w:hint="eastAsia"/>
          <w:bCs/>
          <w:color w:val="auto"/>
          <w:highlight w:val="none"/>
          <w:lang w:eastAsia="zh-CN"/>
        </w:rPr>
        <w:t>招</w:t>
      </w:r>
      <w:r>
        <w:rPr>
          <w:rFonts w:hint="eastAsia" w:cs="Times New Roman"/>
          <w:bCs/>
          <w:color w:val="auto"/>
          <w:highlight w:val="none"/>
          <w:lang w:eastAsia="zh-CN"/>
        </w:rPr>
        <w:t>投标交易平台信息系统</w:t>
      </w:r>
      <w:r>
        <w:rPr>
          <w:rFonts w:hint="eastAsia" w:ascii="宋体" w:hAnsi="宋体" w:eastAsia="宋体" w:cs="宋体"/>
          <w:bCs/>
          <w:color w:val="auto"/>
          <w:highlight w:val="none"/>
          <w:lang w:eastAsia="zh-CN"/>
        </w:rPr>
        <w:t>（</w:t>
      </w:r>
      <w:r>
        <w:rPr>
          <w:rFonts w:hint="eastAsia" w:ascii="宋体" w:hAnsi="宋体" w:eastAsia="宋体" w:cs="宋体"/>
          <w:bCs/>
          <w:color w:val="auto"/>
          <w:highlight w:val="none"/>
        </w:rPr>
        <w:t>https://ecp.sgcc.com.cn</w:t>
      </w:r>
      <w:r>
        <w:rPr>
          <w:rFonts w:hint="eastAsia" w:ascii="宋体" w:hAnsi="宋体" w:eastAsia="宋体" w:cs="宋体"/>
          <w:bCs/>
          <w:color w:val="auto"/>
          <w:highlight w:val="none"/>
          <w:lang w:eastAsia="zh-CN"/>
        </w:rPr>
        <w:t>）</w:t>
      </w:r>
      <w:r>
        <w:rPr>
          <w:rFonts w:hint="eastAsia" w:cs="Times New Roman"/>
          <w:bCs/>
          <w:color w:val="auto"/>
          <w:highlight w:val="none"/>
          <w:lang w:val="en-US" w:eastAsia="zh-CN"/>
        </w:rPr>
        <w:t>及“鈞巧系统”</w:t>
      </w:r>
      <w:r>
        <w:rPr>
          <w:rFonts w:hint="eastAsia" w:ascii="宋体" w:hAnsi="宋体" w:eastAsia="宋体" w:cs="宋体"/>
          <w:bCs/>
          <w:color w:val="auto"/>
          <w:highlight w:val="none"/>
          <w:lang w:val="en-US" w:eastAsia="zh-CN"/>
        </w:rPr>
        <w:t>（http://202.100.20.94）</w:t>
      </w:r>
      <w:r>
        <w:rPr>
          <w:rFonts w:hint="eastAsia"/>
          <w:bCs/>
          <w:color w:val="auto"/>
          <w:highlight w:val="none"/>
        </w:rPr>
        <w:t>。</w:t>
      </w:r>
    </w:p>
    <w:p>
      <w:pPr>
        <w:adjustRightInd w:val="0"/>
        <w:snapToGrid w:val="0"/>
        <w:spacing w:line="400" w:lineRule="exact"/>
        <w:ind w:firstLine="420" w:firstLineChars="200"/>
        <w:rPr>
          <w:rFonts w:hint="eastAsia" w:ascii="宋体" w:hAnsi="宋体" w:eastAsia="宋体" w:cs="宋体"/>
          <w:color w:val="auto"/>
          <w:highlight w:val="none"/>
          <w:lang w:val="zh-CN"/>
        </w:rPr>
      </w:pPr>
      <w:r>
        <w:rPr>
          <w:rFonts w:hint="eastAsia" w:ascii="宋体" w:hAnsi="宋体" w:eastAsia="宋体" w:cs="宋体"/>
          <w:color w:val="auto"/>
          <w:highlight w:val="none"/>
        </w:rPr>
        <w:t>电子投标文件递交方式详见</w:t>
      </w:r>
      <w:r>
        <w:rPr>
          <w:rFonts w:hint="eastAsia" w:ascii="宋体" w:hAnsi="宋体" w:cs="宋体"/>
          <w:color w:val="auto"/>
          <w:highlight w:val="none"/>
          <w:lang w:val="en-US" w:eastAsia="zh-CN"/>
        </w:rPr>
        <w:t>招标文件</w:t>
      </w:r>
      <w:r>
        <w:rPr>
          <w:rFonts w:hint="eastAsia" w:ascii="宋体" w:hAnsi="宋体" w:eastAsia="宋体" w:cs="宋体"/>
          <w:color w:val="auto"/>
          <w:highlight w:val="none"/>
        </w:rPr>
        <w:t>投标文件格式</w:t>
      </w:r>
      <w:r>
        <w:rPr>
          <w:rFonts w:hint="eastAsia" w:ascii="宋体" w:hAnsi="宋体" w:cs="宋体"/>
          <w:color w:val="auto"/>
          <w:highlight w:val="none"/>
          <w:lang w:eastAsia="zh-CN"/>
        </w:rPr>
        <w:t>，</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具体要求详见附件</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2</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采购公告补充说明</w:t>
      </w:r>
      <w:r>
        <w:rPr>
          <w:rFonts w:hint="eastAsia" w:ascii="宋体" w:hAnsi="宋体" w:cs="宋体"/>
          <w:b/>
          <w:color w:val="auto"/>
          <w:highlight w:val="none"/>
        </w:rPr>
        <w:t>。</w:t>
      </w:r>
    </w:p>
    <w:p>
      <w:pPr>
        <w:adjustRightInd w:val="0"/>
        <w:snapToGrid w:val="0"/>
        <w:spacing w:line="400" w:lineRule="exact"/>
        <w:ind w:firstLine="420" w:firstLineChars="200"/>
        <w:rPr>
          <w:rFonts w:hint="eastAsia" w:ascii="宋体" w:hAnsi="宋体" w:eastAsia="宋体" w:cs="宋体"/>
          <w:color w:val="auto"/>
          <w:szCs w:val="21"/>
          <w:highlight w:val="none"/>
          <w:lang w:val="zh-CN"/>
        </w:rPr>
      </w:pPr>
      <w:r>
        <w:rPr>
          <w:rFonts w:hint="eastAsia" w:ascii="宋体" w:hAnsi="宋体" w:eastAsia="宋体" w:cs="宋体"/>
          <w:color w:val="auto"/>
          <w:szCs w:val="21"/>
          <w:highlight w:val="none"/>
          <w:lang w:val="zh-CN"/>
        </w:rPr>
        <w:t>5.2 投标截止时间之前未成功提交至招标人招投标交易平台信息系统</w:t>
      </w:r>
      <w:r>
        <w:rPr>
          <w:rFonts w:hint="eastAsia" w:cs="Times New Roman"/>
          <w:bCs/>
          <w:color w:val="auto"/>
          <w:highlight w:val="none"/>
          <w:lang w:val="en-US" w:eastAsia="zh-CN"/>
        </w:rPr>
        <w:t>及“鈞巧系统”</w:t>
      </w:r>
      <w:r>
        <w:rPr>
          <w:rFonts w:hint="eastAsia" w:ascii="宋体" w:hAnsi="宋体" w:eastAsia="宋体" w:cs="宋体"/>
          <w:color w:val="auto"/>
          <w:szCs w:val="21"/>
          <w:highlight w:val="none"/>
          <w:lang w:val="zh-CN"/>
        </w:rPr>
        <w:t>的电子投标文件，招标人不予受理。不接受未按规定加密的投标文件及投标文件的修改文件。不接受邮寄、现场提交等电子提交方式以外的其他方式提交投标文件及投标文件的修改文件。</w:t>
      </w:r>
    </w:p>
    <w:p>
      <w:pPr>
        <w:tabs>
          <w:tab w:val="left" w:pos="1200"/>
          <w:tab w:val="left" w:pos="3112"/>
          <w:tab w:val="left" w:pos="4600"/>
        </w:tabs>
        <w:spacing w:line="400" w:lineRule="exact"/>
        <w:ind w:firstLine="420" w:firstLineChars="200"/>
        <w:rPr>
          <w:color w:val="auto"/>
          <w:highlight w:val="none"/>
        </w:rPr>
      </w:pPr>
      <w:bookmarkStart w:id="54" w:name="_MON_1697628392"/>
      <w:bookmarkEnd w:id="54"/>
      <w:r>
        <w:rPr>
          <w:rFonts w:hint="eastAsia" w:ascii="宋体" w:hAnsi="宋体" w:eastAsia="宋体" w:cs="宋体"/>
          <w:color w:val="auto"/>
          <w:szCs w:val="21"/>
          <w:highlight w:val="none"/>
          <w:lang w:val="zh-CN"/>
        </w:rPr>
        <w:t>5.3未按招标公告</w:t>
      </w:r>
      <w:r>
        <w:rPr>
          <w:rFonts w:hint="eastAsia" w:ascii="宋体" w:hAnsi="宋体" w:eastAsia="宋体" w:cs="宋体"/>
          <w:color w:val="auto"/>
          <w:szCs w:val="21"/>
          <w:highlight w:val="none"/>
        </w:rPr>
        <w:t>规定的时间和方式获取并下载招标文件的投标</w:t>
      </w:r>
      <w:r>
        <w:rPr>
          <w:rFonts w:hint="eastAsia" w:ascii="宋体" w:hAnsi="宋体" w:eastAsia="宋体" w:cs="宋体"/>
          <w:color w:val="auto"/>
          <w:szCs w:val="21"/>
          <w:highlight w:val="none"/>
          <w:lang w:val="zh-CN"/>
        </w:rPr>
        <w:t>，招标人将不予受理</w:t>
      </w:r>
      <w:r>
        <w:rPr>
          <w:rFonts w:hint="eastAsia" w:ascii="宋体" w:hAnsi="宋体"/>
          <w:color w:val="auto"/>
          <w:szCs w:val="21"/>
          <w:highlight w:val="none"/>
          <w:lang w:val="zh-CN"/>
        </w:rPr>
        <w:t>。</w:t>
      </w:r>
    </w:p>
    <w:p>
      <w:pPr>
        <w:adjustRightInd w:val="0"/>
        <w:snapToGrid w:val="0"/>
        <w:spacing w:before="240" w:beforeLines="100" w:after="120" w:afterLines="50" w:line="400" w:lineRule="exact"/>
        <w:outlineLvl w:val="1"/>
        <w:rPr>
          <w:rFonts w:ascii="黑体" w:eastAsia="黑体"/>
          <w:b/>
          <w:color w:val="auto"/>
          <w:sz w:val="24"/>
          <w:highlight w:val="none"/>
        </w:rPr>
      </w:pPr>
      <w:bookmarkStart w:id="55" w:name="_Toc6640"/>
      <w:bookmarkStart w:id="56" w:name="_Toc13110"/>
      <w:bookmarkStart w:id="57" w:name="_Toc62551534"/>
      <w:bookmarkStart w:id="58" w:name="_Toc8013"/>
      <w:r>
        <w:rPr>
          <w:rFonts w:hint="eastAsia" w:ascii="黑体" w:eastAsia="黑体"/>
          <w:b/>
          <w:color w:val="auto"/>
          <w:sz w:val="24"/>
          <w:highlight w:val="none"/>
        </w:rPr>
        <w:t>6.</w:t>
      </w:r>
      <w:r>
        <w:rPr>
          <w:rFonts w:ascii="黑体" w:eastAsia="黑体"/>
          <w:b/>
          <w:color w:val="auto"/>
          <w:sz w:val="24"/>
          <w:highlight w:val="none"/>
        </w:rPr>
        <w:t>发布公告的媒介</w:t>
      </w:r>
      <w:bookmarkEnd w:id="55"/>
      <w:bookmarkEnd w:id="56"/>
      <w:bookmarkEnd w:id="57"/>
      <w:bookmarkEnd w:id="58"/>
    </w:p>
    <w:p>
      <w:pPr>
        <w:pStyle w:val="19"/>
        <w:tabs>
          <w:tab w:val="left" w:pos="0"/>
        </w:tabs>
        <w:spacing w:line="400" w:lineRule="exact"/>
        <w:ind w:firstLine="420" w:firstLineChars="200"/>
        <w:jc w:val="both"/>
        <w:rPr>
          <w:color w:val="auto"/>
          <w:kern w:val="2"/>
          <w:sz w:val="21"/>
          <w:highlight w:val="none"/>
          <w:lang w:val="en-US"/>
        </w:rPr>
      </w:pPr>
      <w:bookmarkStart w:id="59" w:name="_bookmark8"/>
      <w:bookmarkEnd w:id="59"/>
      <w:bookmarkStart w:id="60" w:name="_Toc27414"/>
      <w:bookmarkStart w:id="61" w:name="_Toc62551535"/>
      <w:bookmarkStart w:id="62" w:name="_Toc9290"/>
      <w:bookmarkStart w:id="63" w:name="_Toc23797"/>
      <w:r>
        <w:rPr>
          <w:rFonts w:hint="eastAsia"/>
          <w:color w:val="auto"/>
          <w:kern w:val="2"/>
          <w:sz w:val="21"/>
          <w:highlight w:val="none"/>
        </w:rPr>
        <w:t>本次招标公告在招标人招投标交易平台信息系统、中国招标投标公共服务平台</w:t>
      </w:r>
      <w:r>
        <w:rPr>
          <w:rFonts w:hint="eastAsia"/>
          <w:color w:val="auto"/>
          <w:kern w:val="2"/>
          <w:sz w:val="21"/>
          <w:highlight w:val="none"/>
          <w:lang w:val="en-US"/>
        </w:rPr>
        <w:t>（</w:t>
      </w:r>
      <w:bookmarkStart w:id="64" w:name="_Hlk511312026"/>
      <w:r>
        <w:rPr>
          <w:color w:val="auto"/>
          <w:kern w:val="2"/>
          <w:sz w:val="21"/>
          <w:highlight w:val="none"/>
          <w:lang w:val="en-US"/>
        </w:rPr>
        <w:t>http://www.cebpubservice.com</w:t>
      </w:r>
      <w:bookmarkEnd w:id="64"/>
      <w:r>
        <w:rPr>
          <w:rFonts w:hint="eastAsia"/>
          <w:color w:val="auto"/>
          <w:kern w:val="2"/>
          <w:sz w:val="21"/>
          <w:highlight w:val="none"/>
          <w:lang w:val="en-US"/>
        </w:rPr>
        <w:t>）</w:t>
      </w:r>
      <w:r>
        <w:rPr>
          <w:rFonts w:hint="eastAsia"/>
          <w:color w:val="auto"/>
          <w:kern w:val="2"/>
          <w:sz w:val="21"/>
          <w:highlight w:val="none"/>
        </w:rPr>
        <w:t>上发布。</w:t>
      </w: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7.</w:t>
      </w:r>
      <w:r>
        <w:rPr>
          <w:rFonts w:ascii="黑体" w:eastAsia="黑体"/>
          <w:b/>
          <w:color w:val="auto"/>
          <w:sz w:val="24"/>
          <w:highlight w:val="none"/>
        </w:rPr>
        <w:t>联系方式</w:t>
      </w:r>
      <w:bookmarkEnd w:id="60"/>
      <w:bookmarkEnd w:id="61"/>
      <w:bookmarkEnd w:id="62"/>
      <w:bookmarkEnd w:id="63"/>
    </w:p>
    <w:p>
      <w:pPr>
        <w:pStyle w:val="19"/>
        <w:tabs>
          <w:tab w:val="left" w:pos="0"/>
        </w:tabs>
        <w:spacing w:line="400" w:lineRule="exact"/>
        <w:ind w:firstLine="420" w:firstLineChars="200"/>
        <w:jc w:val="both"/>
        <w:rPr>
          <w:rFonts w:hint="eastAsia"/>
          <w:color w:val="auto"/>
          <w:kern w:val="2"/>
          <w:sz w:val="21"/>
          <w:highlight w:val="none"/>
        </w:rPr>
      </w:pPr>
      <w:r>
        <w:rPr>
          <w:rFonts w:hint="eastAsia"/>
          <w:color w:val="auto"/>
          <w:kern w:val="2"/>
          <w:sz w:val="21"/>
          <w:highlight w:val="none"/>
        </w:rPr>
        <w:t>招标人</w:t>
      </w:r>
      <w:r>
        <w:rPr>
          <w:color w:val="auto"/>
          <w:kern w:val="2"/>
          <w:sz w:val="21"/>
          <w:highlight w:val="none"/>
        </w:rPr>
        <w:t>:</w:t>
      </w:r>
      <w:r>
        <w:rPr>
          <w:rFonts w:hint="eastAsia"/>
          <w:color w:val="auto"/>
          <w:kern w:val="2"/>
          <w:sz w:val="21"/>
          <w:highlight w:val="none"/>
        </w:rPr>
        <w:t>国网陕西省电力有限公司榆林供电公司</w:t>
      </w:r>
    </w:p>
    <w:p>
      <w:pPr>
        <w:pStyle w:val="19"/>
        <w:tabs>
          <w:tab w:val="left" w:pos="0"/>
        </w:tabs>
        <w:spacing w:line="400" w:lineRule="exact"/>
        <w:ind w:firstLine="420" w:firstLineChars="200"/>
        <w:jc w:val="both"/>
        <w:rPr>
          <w:rFonts w:hint="default" w:eastAsia="宋体"/>
          <w:color w:val="auto"/>
          <w:kern w:val="2"/>
          <w:sz w:val="21"/>
          <w:highlight w:val="none"/>
          <w:lang w:val="en-US" w:eastAsia="zh-CN"/>
        </w:rPr>
      </w:pPr>
      <w:r>
        <w:rPr>
          <w:rFonts w:hint="eastAsia"/>
          <w:color w:val="auto"/>
          <w:kern w:val="2"/>
          <w:sz w:val="21"/>
          <w:highlight w:val="none"/>
        </w:rPr>
        <w:t>地址</w:t>
      </w:r>
      <w:r>
        <w:rPr>
          <w:color w:val="auto"/>
          <w:kern w:val="2"/>
          <w:sz w:val="21"/>
          <w:highlight w:val="none"/>
        </w:rPr>
        <w:t>:</w:t>
      </w:r>
      <w:r>
        <w:rPr>
          <w:rFonts w:hint="eastAsia"/>
          <w:color w:val="auto"/>
          <w:kern w:val="2"/>
          <w:sz w:val="21"/>
          <w:highlight w:val="none"/>
        </w:rPr>
        <w:t xml:space="preserve"> </w:t>
      </w:r>
      <w:r>
        <w:rPr>
          <w:rFonts w:hint="eastAsia"/>
          <w:color w:val="auto"/>
          <w:kern w:val="2"/>
          <w:sz w:val="21"/>
          <w:highlight w:val="none"/>
          <w:lang w:val="en-US" w:eastAsia="zh-CN"/>
        </w:rPr>
        <w:t>陕西省榆林市榆阳区上郡北路10号</w:t>
      </w:r>
    </w:p>
    <w:p>
      <w:pPr>
        <w:pStyle w:val="19"/>
        <w:tabs>
          <w:tab w:val="left" w:pos="0"/>
        </w:tabs>
        <w:spacing w:line="400" w:lineRule="exact"/>
        <w:ind w:firstLine="420" w:firstLineChars="200"/>
        <w:jc w:val="both"/>
        <w:rPr>
          <w:rFonts w:hint="default" w:eastAsia="宋体"/>
          <w:color w:val="auto"/>
          <w:kern w:val="2"/>
          <w:sz w:val="21"/>
          <w:highlight w:val="none"/>
          <w:lang w:val="en-US" w:eastAsia="zh-CN"/>
        </w:rPr>
      </w:pPr>
      <w:r>
        <w:rPr>
          <w:rFonts w:hint="eastAsia"/>
          <w:color w:val="auto"/>
          <w:kern w:val="2"/>
          <w:sz w:val="21"/>
          <w:highlight w:val="none"/>
        </w:rPr>
        <w:t>邮编：</w:t>
      </w:r>
      <w:r>
        <w:rPr>
          <w:rFonts w:hint="eastAsia"/>
          <w:color w:val="auto"/>
          <w:highlight w:val="none"/>
          <w:lang w:val="en-US" w:eastAsia="zh-CN"/>
        </w:rPr>
        <w:t>719099</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招标代理机构：</w:t>
      </w:r>
      <w:r>
        <w:rPr>
          <w:rFonts w:hint="eastAsia" w:ascii="宋体" w:hAnsi="宋体" w:eastAsia="宋体" w:cs="宋体"/>
          <w:sz w:val="21"/>
          <w:szCs w:val="21"/>
          <w:lang w:eastAsia="zh-CN"/>
        </w:rPr>
        <w:t>西北（西安）电能成套设备有限公司</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地址：</w:t>
      </w:r>
      <w:r>
        <w:rPr>
          <w:rFonts w:hint="eastAsia" w:ascii="宋体" w:hAnsi="宋体" w:eastAsia="宋体" w:cs="宋体"/>
          <w:sz w:val="21"/>
          <w:szCs w:val="21"/>
          <w:lang w:eastAsia="zh-CN"/>
        </w:rPr>
        <w:t>陕西省西安市碑林区友谊东路308号</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邮编：</w:t>
      </w:r>
      <w:r>
        <w:rPr>
          <w:rFonts w:hint="eastAsia" w:ascii="宋体" w:hAnsi="宋体" w:eastAsia="宋体" w:cs="宋体"/>
          <w:sz w:val="21"/>
          <w:szCs w:val="21"/>
          <w:lang w:eastAsia="zh-CN"/>
        </w:rPr>
        <w:t>710054</w:t>
      </w:r>
    </w:p>
    <w:p>
      <w:pPr>
        <w:tabs>
          <w:tab w:val="left" w:pos="1134"/>
        </w:tabs>
        <w:adjustRightInd w:val="0"/>
        <w:snapToGrid w:val="0"/>
        <w:spacing w:line="400" w:lineRule="exact"/>
        <w:ind w:firstLine="420" w:firstLineChars="200"/>
        <w:rPr>
          <w:rFonts w:hint="default" w:eastAsia="宋体"/>
          <w:color w:val="auto"/>
          <w:highlight w:val="none"/>
          <w:lang w:val="en-US" w:eastAsia="zh-CN"/>
        </w:rPr>
      </w:pPr>
      <w:r>
        <w:rPr>
          <w:rFonts w:hint="eastAsia" w:ascii="宋体" w:hAnsi="宋体"/>
          <w:color w:val="auto"/>
          <w:szCs w:val="21"/>
          <w:highlight w:val="none"/>
          <w:lang w:val="zh-CN"/>
        </w:rPr>
        <w:t>联系人电话：</w:t>
      </w:r>
      <w:r>
        <w:rPr>
          <w:rFonts w:hint="eastAsia" w:ascii="宋体" w:hAnsi="宋体"/>
          <w:color w:val="auto"/>
          <w:szCs w:val="21"/>
          <w:highlight w:val="none"/>
          <w:lang w:val="en-US" w:eastAsia="zh-CN"/>
        </w:rPr>
        <w:t xml:space="preserve">杭工 </w:t>
      </w:r>
      <w:r>
        <w:rPr>
          <w:rFonts w:hint="eastAsia" w:ascii="宋体" w:hAnsi="宋体"/>
          <w:color w:val="auto"/>
          <w:highlight w:val="none"/>
          <w:lang w:val="en-US" w:eastAsia="zh-CN"/>
        </w:rPr>
        <w:t>029-81005460</w:t>
      </w:r>
      <w:r>
        <w:rPr>
          <w:rFonts w:hint="eastAsia"/>
          <w:color w:val="auto"/>
          <w:highlight w:val="none"/>
          <w:lang w:val="en-US" w:eastAsia="zh-CN"/>
        </w:rPr>
        <w:t>、</w:t>
      </w:r>
      <w:r>
        <w:rPr>
          <w:rFonts w:hint="eastAsia" w:ascii="宋体" w:hAnsi="宋体"/>
          <w:color w:val="auto"/>
          <w:highlight w:val="none"/>
          <w:lang w:val="en-US" w:eastAsia="zh-CN"/>
        </w:rPr>
        <w:t>029-81005453</w:t>
      </w:r>
    </w:p>
    <w:p>
      <w:pPr>
        <w:tabs>
          <w:tab w:val="left" w:pos="1134"/>
        </w:tabs>
        <w:adjustRightInd w:val="0"/>
        <w:snapToGrid w:val="0"/>
        <w:spacing w:line="400" w:lineRule="exact"/>
        <w:ind w:firstLine="420" w:firstLineChars="200"/>
        <w:rPr>
          <w:rFonts w:ascii="宋体" w:hAnsi="宋体"/>
          <w:color w:val="auto"/>
          <w:kern w:val="0"/>
          <w:szCs w:val="21"/>
          <w:highlight w:val="none"/>
        </w:rPr>
      </w:pPr>
      <w:r>
        <w:rPr>
          <w:rFonts w:hint="eastAsia" w:ascii="宋体" w:hAnsi="宋体"/>
          <w:color w:val="auto"/>
          <w:szCs w:val="21"/>
          <w:highlight w:val="none"/>
          <w:lang w:val="zh-CN"/>
        </w:rPr>
        <w:t>电子邮件：</w:t>
      </w:r>
      <w:bookmarkStart w:id="65" w:name="_Toc26113"/>
      <w:bookmarkStart w:id="66" w:name="_Toc26636"/>
      <w:bookmarkStart w:id="67" w:name="_Toc4180"/>
      <w:bookmarkStart w:id="68" w:name="_Toc62551536"/>
      <w:r>
        <w:rPr>
          <w:rFonts w:hint="eastAsia" w:ascii="宋体" w:hAnsi="宋体"/>
          <w:color w:val="auto"/>
          <w:szCs w:val="21"/>
          <w:highlight w:val="none"/>
          <w:lang w:val="zh-CN"/>
        </w:rPr>
        <w:t>xibeidianneng@126.com</w:t>
      </w:r>
    </w:p>
    <w:p>
      <w:pPr>
        <w:tabs>
          <w:tab w:val="left" w:pos="1134"/>
        </w:tabs>
        <w:adjustRightInd w:val="0"/>
        <w:snapToGrid w:val="0"/>
        <w:spacing w:line="400" w:lineRule="exact"/>
        <w:rPr>
          <w:rFonts w:ascii="黑体" w:eastAsia="黑体"/>
          <w:b/>
          <w:color w:val="auto"/>
          <w:sz w:val="24"/>
          <w:highlight w:val="none"/>
        </w:rPr>
      </w:pPr>
      <w:r>
        <w:rPr>
          <w:rFonts w:hint="eastAsia" w:ascii="黑体" w:eastAsia="黑体"/>
          <w:b/>
          <w:color w:val="auto"/>
          <w:sz w:val="24"/>
          <w:highlight w:val="none"/>
        </w:rPr>
        <w:t>8.合规声明</w:t>
      </w:r>
      <w:bookmarkEnd w:id="65"/>
      <w:bookmarkEnd w:id="66"/>
      <w:bookmarkEnd w:id="67"/>
      <w:bookmarkEnd w:id="68"/>
    </w:p>
    <w:p>
      <w:pPr>
        <w:pStyle w:val="19"/>
        <w:tabs>
          <w:tab w:val="left" w:pos="0"/>
        </w:tabs>
        <w:spacing w:line="400" w:lineRule="exact"/>
        <w:ind w:firstLine="420" w:firstLineChars="200"/>
        <w:jc w:val="both"/>
        <w:rPr>
          <w:rFonts w:hint="eastAsia" w:ascii="宋体" w:hAnsi="宋体" w:eastAsia="宋体" w:cs="Times New Roman"/>
          <w:color w:val="auto"/>
          <w:kern w:val="2"/>
          <w:sz w:val="21"/>
          <w:highlight w:val="none"/>
          <w:lang w:eastAsia="zh-CN"/>
        </w:rPr>
      </w:pPr>
      <w:r>
        <w:rPr>
          <w:rFonts w:hint="eastAsia"/>
          <w:color w:val="auto"/>
          <w:kern w:val="2"/>
          <w:sz w:val="21"/>
          <w:highlight w:val="none"/>
        </w:rPr>
        <w:t>本招标文件（包括商务部分和技术部分）符合国家现行法律法规规定，若国家颁布新的法律法规或对现有法律法规进行修订，以新施行的法律法规规定为准</w:t>
      </w:r>
      <w:r>
        <w:rPr>
          <w:rFonts w:hint="eastAsia"/>
          <w:color w:val="auto"/>
          <w:kern w:val="2"/>
          <w:sz w:val="21"/>
          <w:highlight w:val="none"/>
          <w:lang w:eastAsia="zh-CN"/>
        </w:rPr>
        <w:t>，本项目行政监督部门为</w:t>
      </w:r>
      <w:r>
        <w:rPr>
          <w:rFonts w:hint="eastAsia" w:ascii="宋体" w:hAnsi="宋体" w:eastAsia="宋体" w:cs="Times New Roman"/>
          <w:color w:val="auto"/>
          <w:kern w:val="2"/>
          <w:sz w:val="21"/>
          <w:highlight w:val="none"/>
        </w:rPr>
        <w:t>项目所在地县级以上地方人民政府发展改革部门或住房城乡建设部门</w:t>
      </w:r>
      <w:r>
        <w:rPr>
          <w:rFonts w:hint="eastAsia" w:ascii="宋体" w:hAnsi="宋体" w:eastAsia="宋体" w:cs="Times New Roman"/>
          <w:color w:val="auto"/>
          <w:kern w:val="2"/>
          <w:sz w:val="21"/>
          <w:highlight w:val="none"/>
          <w:lang w:eastAsia="zh-CN"/>
        </w:rPr>
        <w:t>。</w:t>
      </w:r>
    </w:p>
    <w:p>
      <w:pPr>
        <w:pStyle w:val="19"/>
        <w:tabs>
          <w:tab w:val="left" w:pos="0"/>
        </w:tabs>
        <w:spacing w:line="400" w:lineRule="exact"/>
        <w:ind w:firstLine="420" w:firstLineChars="200"/>
        <w:jc w:val="both"/>
        <w:rPr>
          <w:rFonts w:hint="eastAsia" w:ascii="宋体" w:hAnsi="宋体" w:eastAsia="宋体" w:cs="Times New Roman"/>
          <w:color w:val="auto"/>
          <w:kern w:val="2"/>
          <w:sz w:val="21"/>
          <w:highlight w:val="none"/>
          <w:lang w:eastAsia="zh-CN"/>
        </w:rPr>
      </w:pPr>
    </w:p>
    <w:p>
      <w:pPr>
        <w:adjustRightInd w:val="0"/>
        <w:snapToGrid w:val="0"/>
        <w:spacing w:before="240" w:beforeLines="100" w:after="120" w:afterLines="50" w:line="400" w:lineRule="exact"/>
        <w:outlineLvl w:val="1"/>
        <w:rPr>
          <w:rFonts w:ascii="黑体" w:eastAsia="黑体"/>
          <w:b/>
          <w:color w:val="auto"/>
          <w:sz w:val="24"/>
          <w:highlight w:val="none"/>
        </w:rPr>
      </w:pPr>
      <w:r>
        <w:rPr>
          <w:rFonts w:hint="eastAsia" w:ascii="黑体" w:eastAsia="黑体"/>
          <w:b/>
          <w:color w:val="auto"/>
          <w:sz w:val="24"/>
          <w:highlight w:val="none"/>
        </w:rPr>
        <w:t>9.权利声明</w:t>
      </w:r>
    </w:p>
    <w:p>
      <w:pPr>
        <w:pStyle w:val="19"/>
        <w:tabs>
          <w:tab w:val="left" w:pos="0"/>
        </w:tabs>
        <w:spacing w:line="400" w:lineRule="exact"/>
        <w:ind w:firstLine="420" w:firstLineChars="200"/>
        <w:jc w:val="both"/>
        <w:rPr>
          <w:color w:val="auto"/>
          <w:kern w:val="2"/>
          <w:sz w:val="21"/>
          <w:highlight w:val="none"/>
        </w:rPr>
      </w:pPr>
      <w:r>
        <w:rPr>
          <w:rFonts w:hint="eastAsia"/>
          <w:color w:val="auto"/>
          <w:kern w:val="2"/>
          <w:sz w:val="21"/>
          <w:highlight w:val="none"/>
        </w:rPr>
        <w:t>禁止对本招标文件或公示信息（依法必须招标项目的招标公告部分除外）进行任何形式的转载（包括但不限于部分或全文转载、修改后转载）或任何未经书面授权的使用。转载依法必须招标项目的招标公告或公示信息的，不得改变招标公告和公示信息的内容，须注明信息来源，不得用于非法用途。任何单位或个人不得违法转载（包括但不限于改变内容转载、转载不注明来源、遗漏或不及时转载修改或补充内容等）招标公告或公示信息、不得对招标公告或公示信息等内容进行不全面、不准确、不客观地分析或使用，任何单位或个人违法或违反本条规定转载、使用本招标文件或公示信息的，招标人将依法追究法律责任。</w:t>
      </w:r>
    </w:p>
    <w:p>
      <w:pPr>
        <w:wordWrap w:val="0"/>
        <w:spacing w:line="400" w:lineRule="exact"/>
        <w:ind w:firstLine="420" w:firstLineChars="200"/>
        <w:jc w:val="right"/>
        <w:rPr>
          <w:rFonts w:hint="eastAsia" w:ascii="宋体" w:hAnsi="宋体" w:cs="Times New Roman"/>
          <w:color w:val="auto"/>
          <w:szCs w:val="21"/>
          <w:highlight w:val="yellow"/>
          <w:lang w:val="zh-CN"/>
        </w:rPr>
        <w:sectPr>
          <w:headerReference r:id="rId3" w:type="default"/>
          <w:footerReference r:id="rId4" w:type="default"/>
          <w:pgSz w:w="11906" w:h="16838"/>
          <w:pgMar w:top="1134" w:right="1800" w:bottom="1134" w:left="1800" w:header="851" w:footer="992" w:gutter="0"/>
          <w:cols w:space="720" w:num="1"/>
          <w:docGrid w:linePitch="312" w:charSpace="0"/>
        </w:sectPr>
      </w:pPr>
      <w:r>
        <w:rPr>
          <w:rFonts w:hint="eastAsia" w:ascii="宋体" w:hAnsi="宋体"/>
          <w:color w:val="auto"/>
          <w:kern w:val="2"/>
          <w:sz w:val="21"/>
          <w:szCs w:val="21"/>
          <w:highlight w:val="yellow"/>
          <w:lang w:val="en-US" w:eastAsia="zh-CN"/>
        </w:rPr>
        <w:t>2025</w:t>
      </w:r>
      <w:r>
        <w:rPr>
          <w:rFonts w:hint="eastAsia" w:ascii="宋体" w:hAnsi="宋体" w:eastAsia="宋体"/>
          <w:color w:val="auto"/>
          <w:kern w:val="2"/>
          <w:sz w:val="21"/>
          <w:szCs w:val="21"/>
          <w:highlight w:val="yellow"/>
          <w:lang w:val="zh-CN" w:eastAsia="zh-CN"/>
        </w:rPr>
        <w:t>年</w:t>
      </w:r>
      <w:r>
        <w:rPr>
          <w:rFonts w:hint="eastAsia" w:ascii="宋体" w:hAnsi="宋体"/>
          <w:color w:val="auto"/>
          <w:kern w:val="2"/>
          <w:sz w:val="21"/>
          <w:szCs w:val="21"/>
          <w:highlight w:val="yellow"/>
          <w:lang w:val="en-US" w:eastAsia="zh-CN"/>
        </w:rPr>
        <w:t>12</w:t>
      </w:r>
      <w:r>
        <w:rPr>
          <w:rFonts w:hint="eastAsia" w:ascii="宋体" w:hAnsi="宋体" w:eastAsia="宋体"/>
          <w:color w:val="auto"/>
          <w:kern w:val="2"/>
          <w:sz w:val="21"/>
          <w:szCs w:val="21"/>
          <w:highlight w:val="yellow"/>
          <w:lang w:val="zh-CN" w:eastAsia="zh-CN"/>
        </w:rPr>
        <w:t>月</w:t>
      </w:r>
      <w:r>
        <w:rPr>
          <w:rFonts w:hint="eastAsia" w:ascii="宋体" w:hAnsi="宋体"/>
          <w:color w:val="auto"/>
          <w:kern w:val="2"/>
          <w:sz w:val="21"/>
          <w:szCs w:val="21"/>
          <w:highlight w:val="yellow"/>
          <w:lang w:val="en-US" w:eastAsia="zh-CN"/>
        </w:rPr>
        <w:t>5</w:t>
      </w:r>
      <w:r>
        <w:rPr>
          <w:rFonts w:hint="eastAsia" w:ascii="宋体" w:hAnsi="宋体" w:eastAsia="宋体"/>
          <w:color w:val="auto"/>
          <w:kern w:val="2"/>
          <w:sz w:val="21"/>
          <w:szCs w:val="21"/>
          <w:highlight w:val="yellow"/>
          <w:lang w:val="zh-CN" w:eastAsia="zh-CN"/>
        </w:rPr>
        <w:t>日</w:t>
      </w:r>
    </w:p>
    <w:p>
      <w:pPr>
        <w:pStyle w:val="19"/>
        <w:shd w:val="clear"/>
        <w:spacing w:line="400" w:lineRule="exact"/>
        <w:rPr>
          <w:rFonts w:hint="eastAsia"/>
          <w:color w:val="auto"/>
          <w:highlight w:val="none"/>
        </w:rPr>
      </w:pPr>
      <w:r>
        <w:rPr>
          <w:rFonts w:hint="eastAsia" w:ascii="黑体" w:hAnsi="黑体" w:eastAsia="黑体" w:cs="黑体"/>
          <w:b/>
          <w:bCs/>
          <w:color w:val="auto"/>
          <w:kern w:val="2"/>
          <w:sz w:val="24"/>
          <w:szCs w:val="24"/>
          <w:highlight w:val="none"/>
          <w:lang w:val="en-US" w:eastAsia="zh-CN"/>
        </w:rPr>
        <w:t xml:space="preserve">附件 </w:t>
      </w:r>
      <w:r>
        <w:rPr>
          <w:rFonts w:hint="eastAsia" w:ascii="黑体" w:hAnsi="黑体" w:eastAsia="黑体" w:cs="黑体"/>
          <w:b/>
          <w:bCs/>
          <w:color w:val="auto"/>
          <w:kern w:val="2"/>
          <w:sz w:val="24"/>
          <w:szCs w:val="24"/>
          <w:highlight w:val="none"/>
          <w:lang w:val="en-US"/>
        </w:rPr>
        <w:t>招标公告附件</w:t>
      </w:r>
    </w:p>
    <w:p>
      <w:pPr>
        <w:adjustRightInd w:val="0"/>
        <w:snapToGrid w:val="0"/>
        <w:spacing w:line="40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w:t>
      </w:r>
      <w:r>
        <w:rPr>
          <w:rFonts w:hint="eastAsia" w:ascii="宋体" w:hAnsi="宋体" w:eastAsia="宋体" w:cs="宋体"/>
          <w:sz w:val="21"/>
          <w:szCs w:val="21"/>
          <w:lang w:eastAsia="zh-CN"/>
        </w:rPr>
        <w:t>需求一览表</w:t>
      </w:r>
      <w:r>
        <w:rPr>
          <w:rFonts w:hint="eastAsia" w:ascii="宋体" w:hAnsi="宋体" w:eastAsia="宋体" w:cs="宋体"/>
          <w:sz w:val="21"/>
          <w:szCs w:val="21"/>
          <w:lang w:val="en-US" w:eastAsia="zh-CN"/>
        </w:rPr>
        <w:t>详见下表，双击打开。</w:t>
      </w:r>
    </w:p>
    <w:p>
      <w:pPr>
        <w:pStyle w:val="2"/>
        <w:rPr>
          <w:rFonts w:hint="eastAsia" w:ascii="宋体" w:hAnsi="宋体" w:eastAsia="宋体" w:cs="宋体"/>
          <w:sz w:val="21"/>
          <w:szCs w:val="21"/>
          <w:lang w:val="en-US" w:eastAsia="zh-CN"/>
        </w:rPr>
      </w:pPr>
    </w:p>
    <w:p>
      <w:pPr>
        <w:jc w:val="center"/>
        <w:rPr>
          <w:rFonts w:hint="eastAsia"/>
          <w:lang w:eastAsia="zh-CN"/>
        </w:rPr>
      </w:pPr>
      <w:r>
        <w:rPr>
          <w:rFonts w:hint="eastAsia"/>
          <w:highlight w:val="yellow"/>
          <w:lang w:eastAsia="zh-CN"/>
        </w:rPr>
        <w:object>
          <v:shape id="_x0000_i1025" o:spt="75" type="#_x0000_t75" style="height:66pt;width:72.75pt;" o:ole="t" filled="f" o:preferrelative="t" stroked="f" coordsize="21600,21600">
            <v:path/>
            <v:fill on="f" focussize="0,0"/>
            <v:stroke on="f"/>
            <v:imagedata r:id="rId9" o:title=""/>
            <o:lock v:ext="edit" aspectratio="t"/>
            <w10:wrap type="none"/>
            <w10:anchorlock/>
          </v:shape>
          <o:OLEObject Type="Embed" ProgID="Excel.Sheet.12" ShapeID="_x0000_i1025" DrawAspect="Icon" ObjectID="_1468075725" r:id="rId8">
            <o:LockedField>false</o:LockedField>
          </o:OLEObject>
        </w:object>
      </w:r>
    </w:p>
    <w:p>
      <w:pPr>
        <w:pStyle w:val="19"/>
        <w:keepNext w:val="0"/>
        <w:keepLines w:val="0"/>
        <w:pageBreakBefore w:val="0"/>
        <w:widowControl w:val="0"/>
        <w:shd w:val="clear"/>
        <w:kinsoku/>
        <w:wordWrap/>
        <w:overflowPunct/>
        <w:topLinePunct w:val="0"/>
        <w:autoSpaceDE w:val="0"/>
        <w:autoSpaceDN w:val="0"/>
        <w:bidi w:val="0"/>
        <w:adjustRightInd/>
        <w:snapToGrid/>
        <w:spacing w:line="400" w:lineRule="exact"/>
        <w:jc w:val="center"/>
        <w:textAlignment w:val="auto"/>
        <w:rPr>
          <w:rFonts w:hint="eastAsia" w:ascii="宋体" w:hAnsi="宋体" w:eastAsia="宋体" w:cs="宋体"/>
          <w:kern w:val="2"/>
          <w:sz w:val="18"/>
          <w:szCs w:val="18"/>
          <w:highlight w:val="yellow"/>
          <w:lang w:val="en-US" w:eastAsia="zh-CN" w:bidi="ar-SA"/>
        </w:rPr>
      </w:pPr>
    </w:p>
    <w:p>
      <w:pPr>
        <w:pStyle w:val="19"/>
        <w:shd w:val="clear"/>
        <w:spacing w:line="400" w:lineRule="exact"/>
        <w:jc w:val="center"/>
        <w:rPr>
          <w:rFonts w:hint="eastAsia" w:ascii="宋体" w:hAnsi="宋体" w:eastAsia="宋体" w:cs="宋体"/>
          <w:kern w:val="2"/>
          <w:sz w:val="18"/>
          <w:szCs w:val="18"/>
          <w:highlight w:val="yellow"/>
          <w:lang w:val="en-US" w:eastAsia="zh-CN" w:bidi="ar-SA"/>
        </w:rPr>
      </w:pPr>
    </w:p>
    <w:p>
      <w:pPr>
        <w:rPr>
          <w:color w:val="auto"/>
          <w:highlight w:val="none"/>
        </w:rPr>
      </w:pPr>
      <w:r>
        <w:rPr>
          <w:color w:val="auto"/>
          <w:highlight w:val="none"/>
        </w:rPr>
        <w:br w:type="page"/>
      </w:r>
      <w:bookmarkStart w:id="69" w:name="_GoBack"/>
      <w:bookmarkEnd w:id="69"/>
    </w:p>
    <w:p>
      <w:pPr>
        <w:pStyle w:val="19"/>
        <w:shd w:val="clear"/>
        <w:spacing w:line="400" w:lineRule="exact"/>
        <w:rPr>
          <w:rFonts w:hint="eastAsia" w:ascii="宋体" w:hAnsi="宋体" w:eastAsia="宋体" w:cs="宋体"/>
          <w:b/>
          <w:bCs/>
          <w:color w:val="auto"/>
          <w:kern w:val="2"/>
          <w:sz w:val="24"/>
          <w:szCs w:val="24"/>
          <w:highlight w:val="none"/>
          <w:lang w:val="en-US"/>
        </w:rPr>
      </w:pPr>
      <w:r>
        <w:rPr>
          <w:rFonts w:hint="eastAsia" w:ascii="宋体" w:hAnsi="宋体" w:eastAsia="宋体" w:cs="宋体"/>
          <w:b/>
          <w:bCs/>
          <w:color w:val="auto"/>
          <w:kern w:val="2"/>
          <w:sz w:val="24"/>
          <w:szCs w:val="24"/>
          <w:highlight w:val="none"/>
          <w:lang w:val="en-US"/>
        </w:rPr>
        <w:t>附件</w:t>
      </w:r>
      <w:r>
        <w:rPr>
          <w:rFonts w:hint="eastAsia" w:ascii="宋体" w:hAnsi="宋体" w:eastAsia="宋体" w:cs="宋体"/>
          <w:b/>
          <w:bCs/>
          <w:color w:val="auto"/>
          <w:kern w:val="2"/>
          <w:sz w:val="24"/>
          <w:szCs w:val="24"/>
          <w:highlight w:val="none"/>
          <w:lang w:val="en-US" w:eastAsia="zh-CN"/>
        </w:rPr>
        <w:t>1</w:t>
      </w:r>
      <w:r>
        <w:rPr>
          <w:rFonts w:hint="eastAsia" w:ascii="宋体" w:hAnsi="宋体" w:eastAsia="宋体" w:cs="宋体"/>
          <w:b/>
          <w:bCs/>
          <w:color w:val="auto"/>
          <w:kern w:val="2"/>
          <w:sz w:val="24"/>
          <w:szCs w:val="24"/>
          <w:highlight w:val="none"/>
          <w:lang w:val="en-US"/>
        </w:rPr>
        <w:t>：</w:t>
      </w:r>
    </w:p>
    <w:p>
      <w:pPr>
        <w:pStyle w:val="19"/>
        <w:shd w:val="clear"/>
        <w:spacing w:line="400" w:lineRule="exact"/>
        <w:jc w:val="center"/>
        <w:rPr>
          <w:rFonts w:hint="eastAsia" w:ascii="宋体" w:hAnsi="宋体" w:eastAsia="宋体" w:cs="宋体"/>
          <w:b/>
          <w:bCs/>
          <w:color w:val="auto"/>
          <w:kern w:val="2"/>
          <w:sz w:val="24"/>
          <w:szCs w:val="24"/>
          <w:highlight w:val="none"/>
          <w:lang w:val="en-US"/>
        </w:rPr>
      </w:pPr>
      <w:r>
        <w:rPr>
          <w:rFonts w:hint="eastAsia" w:ascii="宋体" w:hAnsi="宋体" w:eastAsia="宋体" w:cs="宋体"/>
          <w:b/>
          <w:bCs/>
          <w:color w:val="auto"/>
          <w:kern w:val="2"/>
          <w:sz w:val="24"/>
          <w:szCs w:val="24"/>
          <w:highlight w:val="none"/>
          <w:lang w:val="en-US"/>
        </w:rPr>
        <w:t>关于严禁串通投标进一步规范投标行为相关要求</w:t>
      </w:r>
    </w:p>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招标采购活动中投标人应自行响应招标采购文件，参与投标事宜，不接受投标人委托中介机构或者中间人代行办理投标事宜。</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招标采购过程中严格执行国家法律法规及公司相关规章制度，严肃查处串通投标行为，对于投标人之间、投标人委托中介机构或者中间人参与投标活动中的串通投标行为，一经查实，严厉处罚。</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在实际招标采购过程中，一旦发现投标人或投标文件有下列情形，可认定为串通投标：</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（一）不同投标人的投标文件由同一单位或者个人编制，不同电子投标文件通过同一台电脑制作、上传。</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二）不同投标人委托同一单位或者个人办理投标事宜，如同一个单位派人或者同一个人代表不同投标人购买招标文件、递交投标文件、踏勘现场、提出异议、澄清答复、领取中标通知书等；通过邮件、快递形式寄出投标文件或收取中标通知书的，如不同投标人寄出、收件地址或人员相同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（三）不同投标人的投标文件载明的项目管理成员为同一人，其存在串通投标的可能性极大，应当先行给予认定，除非投标人能够证明其不存在串通投标的行为。</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四）不同投标人的投标文件异常一致或者投标报价呈规律性差异，主要表现为投标文件错误表述、错误计算或者笔误雷同，投标文件内容整段内容一致，投标文件排版格式一致，投标报价呈等差数列或有规律性的百分比等。</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（五）不同投标人的投标文件上所加盖印章、签名相同的，不同投标人的投标文件相互混装，</w:t>
      </w:r>
      <w:r>
        <w:rPr>
          <w:szCs w:val="21"/>
          <w:lang w:bidi="ar"/>
        </w:rPr>
        <w:t>“</w:t>
      </w:r>
      <w:r>
        <w:rPr>
          <w:rFonts w:hint="eastAsia" w:cs="宋体"/>
          <w:szCs w:val="21"/>
          <w:lang w:bidi="ar"/>
        </w:rPr>
        <w:t>你中有我，我中有你</w:t>
      </w:r>
      <w:r>
        <w:rPr>
          <w:szCs w:val="21"/>
          <w:lang w:bidi="ar"/>
        </w:rPr>
        <w:t>”</w:t>
      </w:r>
      <w:r>
        <w:rPr>
          <w:rFonts w:hint="eastAsia" w:cs="宋体"/>
          <w:szCs w:val="21"/>
          <w:lang w:bidi="ar"/>
        </w:rPr>
        <w:t>。</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（六）不同投标人的投标保证金从同一单位或者个人的账户转出，包括虽然经由投标人自己的基本账户转出但所需资金均是来自同一投标人或者个人的账户的。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（七）招投标实现电子化的情形下，不同投标人从同一个投标单位或者同一个自然人的</w:t>
      </w:r>
      <w:r>
        <w:rPr>
          <w:szCs w:val="21"/>
          <w:lang w:bidi="ar"/>
        </w:rPr>
        <w:t>IP</w:t>
      </w:r>
      <w:r>
        <w:rPr>
          <w:rFonts w:hint="eastAsia" w:cs="宋体"/>
          <w:szCs w:val="21"/>
          <w:lang w:bidi="ar"/>
        </w:rPr>
        <w:t>地址下载招标文件或者上传投标文件；不同投标人的电子投标文件编制时的计算机硬件信息中存在一条及以上的计算机网卡</w:t>
      </w:r>
      <w:r>
        <w:rPr>
          <w:szCs w:val="21"/>
          <w:lang w:bidi="ar"/>
        </w:rPr>
        <w:t>MAC</w:t>
      </w:r>
      <w:r>
        <w:rPr>
          <w:rFonts w:hint="eastAsia" w:cs="宋体"/>
          <w:szCs w:val="21"/>
          <w:lang w:bidi="ar"/>
        </w:rPr>
        <w:t>地址（如有）、</w:t>
      </w:r>
      <w:r>
        <w:rPr>
          <w:szCs w:val="21"/>
          <w:lang w:bidi="ar"/>
        </w:rPr>
        <w:t>CPU</w:t>
      </w:r>
      <w:r>
        <w:rPr>
          <w:rFonts w:hint="eastAsia" w:cs="宋体"/>
          <w:szCs w:val="21"/>
          <w:lang w:bidi="ar"/>
        </w:rPr>
        <w:t>序列号和硬盘序列号均相同的；不同投标人的电子投标文件上传计算机的网卡</w:t>
      </w:r>
      <w:r>
        <w:rPr>
          <w:szCs w:val="21"/>
          <w:lang w:bidi="ar"/>
        </w:rPr>
        <w:t>MAC</w:t>
      </w:r>
      <w:r>
        <w:rPr>
          <w:rFonts w:hint="eastAsia" w:cs="宋体"/>
          <w:szCs w:val="21"/>
          <w:lang w:bidi="ar"/>
        </w:rPr>
        <w:t>地址、</w:t>
      </w:r>
      <w:r>
        <w:rPr>
          <w:szCs w:val="21"/>
          <w:lang w:bidi="ar"/>
        </w:rPr>
        <w:t>CPU</w:t>
      </w:r>
      <w:r>
        <w:rPr>
          <w:rFonts w:hint="eastAsia" w:cs="宋体"/>
          <w:szCs w:val="21"/>
          <w:lang w:bidi="ar"/>
        </w:rPr>
        <w:t>序列号和硬盘序列号等硬件信息均相同的（开标现场上传电子投标文件的除外）。</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（八）举报人提供的投标人串通投标证据，经相关部门核实属实的。</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szCs w:val="21"/>
        </w:rPr>
      </w:pPr>
      <w:r>
        <w:rPr>
          <w:rFonts w:hint="eastAsia" w:cs="宋体"/>
          <w:szCs w:val="21"/>
          <w:lang w:bidi="ar"/>
        </w:rPr>
        <w:t>在招标采购过程中，投标人或投标文件经认定为串通投标行为后，移交</w:t>
      </w:r>
      <w:r>
        <w:rPr>
          <w:rFonts w:hint="eastAsia" w:cs="宋体"/>
          <w:bCs/>
          <w:szCs w:val="21"/>
          <w:lang w:bidi="ar"/>
        </w:rPr>
        <w:t>国网陕西省电力有限公司</w:t>
      </w:r>
      <w:r>
        <w:rPr>
          <w:rFonts w:hint="eastAsia" w:cs="宋体"/>
          <w:szCs w:val="21"/>
          <w:lang w:bidi="ar"/>
        </w:rPr>
        <w:t>供应商不良行为处理归口部门，对相关供应商进行不良行为处理。</w:t>
      </w:r>
    </w:p>
    <w:p>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cs="宋体"/>
          <w:szCs w:val="21"/>
          <w:lang w:bidi="ar"/>
        </w:rPr>
      </w:pPr>
      <w:r>
        <w:rPr>
          <w:rFonts w:hint="eastAsia" w:cs="宋体"/>
          <w:szCs w:val="21"/>
          <w:lang w:bidi="ar"/>
        </w:rPr>
        <w:t>串通投标行为严重损害国家、发包人和其他投标人的合法权益，严重违背招投标活动所应遵循的公开、公平、公正和诚实信用原则，该行为一经查实，应取消相关投标人中标资格，同时依据《国家电网有限公司供应商不良行为处理管理细则》要求予以处理。</w:t>
      </w:r>
    </w:p>
    <w:p>
      <w:pPr>
        <w:rPr>
          <w:rFonts w:hint="eastAsia" w:cs="宋体"/>
          <w:szCs w:val="21"/>
          <w:lang w:bidi="ar"/>
        </w:rPr>
      </w:pPr>
      <w:r>
        <w:rPr>
          <w:rFonts w:hint="eastAsia" w:cs="宋体"/>
          <w:szCs w:val="21"/>
          <w:lang w:bidi="ar"/>
        </w:rPr>
        <w:br w:type="page"/>
      </w:r>
    </w:p>
    <w:p>
      <w:pPr>
        <w:pStyle w:val="19"/>
        <w:shd w:val="clear"/>
        <w:spacing w:line="400" w:lineRule="exact"/>
        <w:rPr>
          <w:rFonts w:hint="eastAsia" w:ascii="宋体" w:hAnsi="宋体" w:eastAsia="宋体" w:cs="宋体"/>
          <w:b/>
          <w:bCs/>
          <w:color w:val="auto"/>
          <w:kern w:val="2"/>
          <w:sz w:val="24"/>
          <w:szCs w:val="24"/>
          <w:highlight w:val="none"/>
          <w:lang w:val="en-US" w:eastAsia="zh-CN"/>
        </w:rPr>
      </w:pPr>
      <w:r>
        <w:rPr>
          <w:rFonts w:hint="eastAsia" w:ascii="宋体" w:hAnsi="宋体" w:eastAsia="宋体" w:cs="宋体"/>
          <w:b/>
          <w:bCs/>
          <w:color w:val="auto"/>
          <w:kern w:val="2"/>
          <w:sz w:val="24"/>
          <w:szCs w:val="24"/>
          <w:highlight w:val="none"/>
          <w:lang w:val="en-US" w:eastAsia="zh-CN"/>
        </w:rPr>
        <w:t>附件</w:t>
      </w:r>
      <w:r>
        <w:rPr>
          <w:rFonts w:hint="eastAsia" w:cs="宋体"/>
          <w:b/>
          <w:bCs/>
          <w:color w:val="auto"/>
          <w:kern w:val="2"/>
          <w:sz w:val="24"/>
          <w:szCs w:val="24"/>
          <w:highlight w:val="none"/>
          <w:lang w:val="en-US" w:eastAsia="zh-CN"/>
        </w:rPr>
        <w:t>2</w:t>
      </w:r>
      <w:r>
        <w:rPr>
          <w:rFonts w:hint="eastAsia" w:ascii="宋体" w:hAnsi="宋体" w:eastAsia="宋体" w:cs="宋体"/>
          <w:b/>
          <w:bCs/>
          <w:color w:val="auto"/>
          <w:kern w:val="2"/>
          <w:sz w:val="24"/>
          <w:szCs w:val="24"/>
          <w:highlight w:val="none"/>
          <w:lang w:val="en-US" w:eastAsia="zh-CN"/>
        </w:rPr>
        <w:t>：招标公告补充说明</w:t>
      </w:r>
    </w:p>
    <w:p>
      <w:pPr>
        <w:pStyle w:val="6"/>
        <w:rPr>
          <w:rFonts w:hint="eastAsia"/>
          <w:lang w:val="en-US" w:eastAsia="zh-CN"/>
        </w:rPr>
      </w:pPr>
    </w:p>
    <w:p>
      <w:pPr>
        <w:jc w:val="both"/>
        <w:rPr>
          <w:rFonts w:hint="eastAsia"/>
          <w:lang w:val="en-US" w:eastAsia="zh-CN"/>
        </w:rPr>
      </w:pPr>
      <w:r>
        <w:rPr>
          <w:rFonts w:hint="eastAsia" w:asciiTheme="minorEastAsia" w:hAnsiTheme="minorEastAsia" w:eastAsiaTheme="minorEastAsia" w:cstheme="minorEastAsia"/>
          <w:b/>
          <w:bCs/>
          <w:color w:val="auto"/>
          <w:kern w:val="2"/>
          <w:sz w:val="21"/>
          <w:szCs w:val="21"/>
          <w:highlight w:val="none"/>
          <w:lang w:val="en-US" w:eastAsia="zh-CN" w:bidi="ar-SA"/>
        </w:rPr>
        <w:t>如招标文件中其他章节内容与本章内容不一致，以本章内容为准。</w:t>
      </w:r>
    </w:p>
    <w:p>
      <w:pPr>
        <w:pStyle w:val="6"/>
      </w:pPr>
    </w:p>
    <w:p>
      <w:pPr>
        <w:keepNext w:val="0"/>
        <w:keepLines w:val="0"/>
        <w:pageBreakBefore w:val="0"/>
        <w:shd w:val="clear"/>
        <w:tabs>
          <w:tab w:val="left" w:pos="1134"/>
        </w:tabs>
        <w:kinsoku/>
        <w:overflowPunct/>
        <w:topLinePunct w:val="0"/>
        <w:bidi w:val="0"/>
        <w:adjustRightInd w:val="0"/>
        <w:snapToGrid w:val="0"/>
        <w:spacing w:beforeLines="0" w:afterLines="0" w:line="400" w:lineRule="exact"/>
        <w:textAlignment w:val="auto"/>
        <w:rPr>
          <w:rFonts w:hint="eastAsia" w:asciiTheme="minorEastAsia" w:hAnsiTheme="minorEastAsia" w:eastAsiaTheme="minorEastAsia" w:cstheme="minorEastAsia"/>
          <w:b/>
          <w:bCs/>
          <w:color w:val="auto"/>
          <w:sz w:val="21"/>
          <w:szCs w:val="22"/>
          <w:highlight w:val="none"/>
          <w:lang w:val="en-US" w:eastAsia="zh-CN"/>
        </w:rPr>
      </w:pPr>
      <w:r>
        <w:rPr>
          <w:rFonts w:hint="eastAsia" w:asciiTheme="minorEastAsia" w:hAnsiTheme="minorEastAsia" w:eastAsiaTheme="minorEastAsia" w:cstheme="minorEastAsia"/>
          <w:b/>
          <w:bCs/>
          <w:color w:val="auto"/>
          <w:sz w:val="21"/>
          <w:szCs w:val="22"/>
          <w:highlight w:val="none"/>
          <w:lang w:val="en-US" w:eastAsia="zh-CN"/>
        </w:rPr>
        <w:t>1. 平台注册</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420" w:firstLineChars="200"/>
        <w:textAlignment w:val="auto"/>
        <w:rPr>
          <w:rFonts w:hint="eastAsia" w:asciiTheme="minorEastAsia" w:hAnsiTheme="minorEastAsia" w:eastAsiaTheme="minorEastAsia" w:cstheme="minorEastAsia"/>
          <w:color w:val="auto"/>
          <w:sz w:val="20"/>
          <w:szCs w:val="20"/>
          <w:highlight w:val="none"/>
          <w:lang w:val="en-US" w:eastAsia="zh-CN"/>
        </w:rPr>
      </w:pPr>
      <w:r>
        <w:rPr>
          <w:rFonts w:hint="eastAsia" w:asciiTheme="minorEastAsia" w:hAnsiTheme="minorEastAsia" w:eastAsiaTheme="minorEastAsia" w:cstheme="minorEastAsia"/>
          <w:color w:val="auto"/>
          <w:sz w:val="21"/>
          <w:szCs w:val="21"/>
          <w:highlight w:val="none"/>
          <w:lang w:eastAsia="zh-CN"/>
        </w:rPr>
        <w:t>投标人应在规定时间内，登录国家电网公司电子商务平台点击获取招标文件。</w:t>
      </w:r>
      <w:r>
        <w:rPr>
          <w:rFonts w:hint="eastAsia" w:asciiTheme="minorEastAsia" w:hAnsiTheme="minorEastAsia" w:eastAsiaTheme="minorEastAsia" w:cstheme="minorEastAsia"/>
          <w:color w:val="auto"/>
          <w:sz w:val="21"/>
          <w:szCs w:val="21"/>
          <w:highlight w:val="none"/>
        </w:rPr>
        <w:t>国家电网公司电子商务平台</w:t>
      </w:r>
      <w:r>
        <w:rPr>
          <w:rFonts w:hint="eastAsia" w:asciiTheme="minorEastAsia" w:hAnsiTheme="minorEastAsia" w:eastAsiaTheme="minorEastAsia" w:cstheme="minorEastAsia"/>
          <w:color w:val="auto"/>
          <w:sz w:val="21"/>
          <w:szCs w:val="21"/>
          <w:highlight w:val="none"/>
          <w:lang w:val="en-US" w:eastAsia="zh-CN"/>
        </w:rPr>
        <w:t>点击获取后，投标人应登陆“鈞巧系统”（网址：http://202.100.20.94），按照《平台注册手册》（见鈞巧系统）完成企业注册（前期已注册的企业无需重复注册）。注册企</w:t>
      </w:r>
      <w:r>
        <w:rPr>
          <w:rFonts w:hint="eastAsia" w:asciiTheme="minorEastAsia" w:hAnsiTheme="minorEastAsia" w:eastAsiaTheme="minorEastAsia" w:cstheme="minorEastAsia"/>
          <w:b w:val="0"/>
          <w:bCs w:val="0"/>
          <w:color w:val="auto"/>
          <w:sz w:val="21"/>
          <w:szCs w:val="21"/>
          <w:highlight w:val="none"/>
          <w:lang w:val="en-US" w:eastAsia="zh-CN"/>
        </w:rPr>
        <w:t>业信息应与投标人企业在税务局预留开票信息一致</w:t>
      </w:r>
      <w:r>
        <w:rPr>
          <w:rFonts w:hint="eastAsia" w:asciiTheme="minorEastAsia" w:hAnsiTheme="minorEastAsia" w:eastAsiaTheme="minorEastAsia" w:cstheme="minorEastAsia"/>
          <w:b w:val="0"/>
          <w:bCs w:val="0"/>
          <w:color w:val="auto"/>
          <w:sz w:val="21"/>
          <w:szCs w:val="21"/>
          <w:highlight w:val="none"/>
        </w:rPr>
        <w:t>（具体开票信息请与各</w:t>
      </w:r>
      <w:r>
        <w:rPr>
          <w:rFonts w:hint="eastAsia" w:asciiTheme="minorEastAsia" w:hAnsiTheme="minorEastAsia" w:eastAsiaTheme="minorEastAsia" w:cstheme="minorEastAsia"/>
          <w:b w:val="0"/>
          <w:bCs w:val="0"/>
          <w:color w:val="auto"/>
          <w:sz w:val="21"/>
          <w:szCs w:val="21"/>
          <w:highlight w:val="none"/>
          <w:lang w:eastAsia="zh-CN"/>
        </w:rPr>
        <w:t>投标人</w:t>
      </w:r>
      <w:r>
        <w:rPr>
          <w:rFonts w:hint="eastAsia" w:asciiTheme="minorEastAsia" w:hAnsiTheme="minorEastAsia" w:eastAsiaTheme="minorEastAsia" w:cstheme="minorEastAsia"/>
          <w:b w:val="0"/>
          <w:bCs w:val="0"/>
          <w:color w:val="auto"/>
          <w:sz w:val="21"/>
          <w:szCs w:val="21"/>
          <w:highlight w:val="none"/>
        </w:rPr>
        <w:t>财务部进行</w:t>
      </w:r>
      <w:r>
        <w:rPr>
          <w:rFonts w:hint="eastAsia" w:asciiTheme="minorEastAsia" w:hAnsiTheme="minorEastAsia" w:eastAsiaTheme="minorEastAsia" w:cstheme="minorEastAsia"/>
          <w:b w:val="0"/>
          <w:bCs w:val="0"/>
          <w:color w:val="auto"/>
          <w:sz w:val="21"/>
          <w:szCs w:val="21"/>
          <w:highlight w:val="none"/>
          <w:lang w:val="en-US" w:eastAsia="zh-CN"/>
        </w:rPr>
        <w:t>确认</w:t>
      </w:r>
      <w:r>
        <w:rPr>
          <w:rFonts w:hint="eastAsia" w:asciiTheme="minorEastAsia" w:hAnsiTheme="minorEastAsia" w:eastAsiaTheme="minorEastAsia" w:cstheme="minorEastAsia"/>
          <w:b w:val="0"/>
          <w:bCs w:val="0"/>
          <w:color w:val="auto"/>
          <w:sz w:val="21"/>
          <w:szCs w:val="21"/>
          <w:highlight w:val="none"/>
        </w:rPr>
        <w:t>）</w:t>
      </w:r>
      <w:r>
        <w:rPr>
          <w:rFonts w:hint="eastAsia" w:asciiTheme="minorEastAsia" w:hAnsiTheme="minorEastAsia" w:eastAsia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如因</w:t>
      </w:r>
      <w:r>
        <w:rPr>
          <w:rFonts w:hint="eastAsia" w:asciiTheme="minorEastAsia" w:hAnsiTheme="minorEastAsia" w:eastAsiaTheme="minorEastAsia" w:cstheme="minorEastAsia"/>
          <w:b w:val="0"/>
          <w:bCs w:val="0"/>
          <w:color w:val="auto"/>
          <w:sz w:val="21"/>
          <w:szCs w:val="21"/>
          <w:highlight w:val="none"/>
          <w:lang w:eastAsia="zh-CN"/>
        </w:rPr>
        <w:t>投标人</w:t>
      </w:r>
      <w:r>
        <w:rPr>
          <w:rFonts w:hint="eastAsia" w:asciiTheme="minorEastAsia" w:hAnsiTheme="minorEastAsia" w:eastAsiaTheme="minorEastAsia" w:cstheme="minorEastAsia"/>
          <w:b w:val="0"/>
          <w:bCs w:val="0"/>
          <w:color w:val="auto"/>
          <w:sz w:val="21"/>
          <w:szCs w:val="21"/>
          <w:highlight w:val="none"/>
        </w:rPr>
        <w:t>上述信息填写有误造成无法开具发票或开具的发票信息有误，后果由</w:t>
      </w:r>
      <w:r>
        <w:rPr>
          <w:rFonts w:hint="eastAsia" w:asciiTheme="minorEastAsia" w:hAnsiTheme="minorEastAsia" w:eastAsiaTheme="minorEastAsia" w:cstheme="minorEastAsia"/>
          <w:b w:val="0"/>
          <w:bCs w:val="0"/>
          <w:color w:val="auto"/>
          <w:sz w:val="21"/>
          <w:szCs w:val="21"/>
          <w:highlight w:val="none"/>
          <w:lang w:eastAsia="zh-CN"/>
        </w:rPr>
        <w:t>投标人</w:t>
      </w:r>
      <w:r>
        <w:rPr>
          <w:rFonts w:hint="eastAsia" w:asciiTheme="minorEastAsia" w:hAnsiTheme="minorEastAsia" w:eastAsiaTheme="minorEastAsia" w:cstheme="minorEastAsia"/>
          <w:b w:val="0"/>
          <w:bCs w:val="0"/>
          <w:color w:val="auto"/>
          <w:sz w:val="21"/>
          <w:szCs w:val="21"/>
          <w:highlight w:val="none"/>
        </w:rPr>
        <w:t>自行承担。</w:t>
      </w:r>
    </w:p>
    <w:p>
      <w:pPr>
        <w:pStyle w:val="24"/>
        <w:keepNext w:val="0"/>
        <w:keepLines w:val="0"/>
        <w:pageBreakBefore w:val="0"/>
        <w:widowControl/>
        <w:tabs>
          <w:tab w:val="left" w:pos="760"/>
        </w:tabs>
        <w:kinsoku/>
        <w:overflowPunct/>
        <w:topLinePunct w:val="0"/>
        <w:bidi w:val="0"/>
        <w:spacing w:line="400" w:lineRule="exact"/>
        <w:ind w:left="0" w:leftChars="0" w:firstLine="420" w:firstLineChars="200"/>
        <w:jc w:val="left"/>
        <w:textAlignment w:val="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kern w:val="2"/>
          <w:sz w:val="21"/>
          <w:szCs w:val="21"/>
          <w:highlight w:val="none"/>
          <w:lang w:val="en-US" w:eastAsia="zh-CN" w:bidi="ar-SA"/>
        </w:rPr>
        <w:t>注册完成后，招标代理机构将在一个工作日内进行审核，审核通过后投标人可使用电子钥匙绑定企业账号（此处使用的电子钥匙与投标人在“国家电网电子商务平台”使用的电子钥匙通用），完成注册登陆。</w:t>
      </w:r>
    </w:p>
    <w:p>
      <w:pPr>
        <w:keepNext w:val="0"/>
        <w:keepLines w:val="0"/>
        <w:pageBreakBefore w:val="0"/>
        <w:widowControl w:val="0"/>
        <w:tabs>
          <w:tab w:val="left" w:pos="620"/>
        </w:tabs>
        <w:kinsoku/>
        <w:wordWrap/>
        <w:overflowPunct/>
        <w:topLinePunct w:val="0"/>
        <w:bidi w:val="0"/>
        <w:adjustRightInd/>
        <w:snapToGrid/>
        <w:spacing w:line="400" w:lineRule="exact"/>
        <w:ind w:firstLine="400"/>
        <w:textAlignment w:val="auto"/>
        <w:rPr>
          <w:rFonts w:hint="eastAsia" w:asciiTheme="minorEastAsia" w:hAnsiTheme="minorEastAsia" w:eastAsiaTheme="minorEastAsia" w:cstheme="minorEastAsia"/>
          <w:b w:val="0"/>
          <w:bCs w:val="0"/>
          <w:color w:val="auto"/>
          <w:lang w:val="en-US" w:eastAsia="zh-CN"/>
        </w:rPr>
      </w:pPr>
    </w:p>
    <w:p>
      <w:pPr>
        <w:keepNext w:val="0"/>
        <w:keepLines w:val="0"/>
        <w:pageBreakBefore w:val="0"/>
        <w:shd w:val="clear"/>
        <w:tabs>
          <w:tab w:val="left" w:pos="1134"/>
        </w:tabs>
        <w:kinsoku/>
        <w:overflowPunct/>
        <w:topLinePunct w:val="0"/>
        <w:bidi w:val="0"/>
        <w:adjustRightInd w:val="0"/>
        <w:snapToGrid w:val="0"/>
        <w:spacing w:beforeLines="0" w:afterLines="0" w:line="400" w:lineRule="exact"/>
        <w:textAlignment w:val="auto"/>
        <w:rPr>
          <w:rFonts w:hint="eastAsia" w:asciiTheme="minorEastAsia" w:hAnsiTheme="minorEastAsia" w:eastAsiaTheme="minorEastAsia" w:cstheme="minorEastAsia"/>
          <w:b/>
          <w:bCs/>
          <w:color w:val="auto"/>
          <w:sz w:val="21"/>
          <w:szCs w:val="22"/>
          <w:highlight w:val="none"/>
          <w:lang w:val="en-US" w:eastAsia="zh-CN"/>
        </w:rPr>
      </w:pPr>
      <w:r>
        <w:rPr>
          <w:rFonts w:hint="eastAsia" w:asciiTheme="minorEastAsia" w:hAnsiTheme="minorEastAsia" w:eastAsiaTheme="minorEastAsia" w:cstheme="minorEastAsia"/>
          <w:b/>
          <w:bCs/>
          <w:color w:val="auto"/>
          <w:sz w:val="21"/>
          <w:szCs w:val="22"/>
          <w:highlight w:val="none"/>
          <w:lang w:val="en-US" w:eastAsia="zh-CN"/>
        </w:rPr>
        <w:t>2.投标文件的递交及上传说明</w:t>
      </w:r>
    </w:p>
    <w:p>
      <w:pPr>
        <w:keepNext w:val="0"/>
        <w:keepLines w:val="0"/>
        <w:pageBreakBefore w:val="0"/>
        <w:widowControl w:val="0"/>
        <w:tabs>
          <w:tab w:val="left" w:pos="620"/>
        </w:tabs>
        <w:kinsoku/>
        <w:wordWrap/>
        <w:overflowPunct/>
        <w:topLinePunct w:val="0"/>
        <w:bidi w:val="0"/>
        <w:adjustRightInd/>
        <w:snapToGrid/>
        <w:spacing w:line="400" w:lineRule="exact"/>
        <w:ind w:firstLine="400"/>
        <w:textAlignment w:val="auto"/>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val="0"/>
          <w:bCs w:val="0"/>
          <w:color w:val="auto"/>
          <w:sz w:val="21"/>
          <w:szCs w:val="21"/>
          <w:highlight w:val="none"/>
        </w:rPr>
        <w:t>电子投标文件应在投标截止时间前提交至招标人招投标信息系统</w:t>
      </w:r>
      <w:r>
        <w:rPr>
          <w:rFonts w:hint="eastAsia" w:asciiTheme="minorEastAsia" w:hAnsiTheme="minorEastAsia" w:eastAsiaTheme="minorEastAsia" w:cstheme="minorEastAsia"/>
          <w:b w:val="0"/>
          <w:bCs w:val="0"/>
          <w:color w:val="auto"/>
          <w:sz w:val="21"/>
          <w:szCs w:val="21"/>
          <w:highlight w:val="none"/>
          <w:lang w:eastAsia="zh-CN"/>
        </w:rPr>
        <w:t>（</w:t>
      </w:r>
      <w:r>
        <w:rPr>
          <w:rFonts w:hint="eastAsia" w:asciiTheme="minorEastAsia" w:hAnsiTheme="minorEastAsia" w:eastAsiaTheme="minorEastAsia" w:cstheme="minorEastAsia"/>
          <w:b w:val="0"/>
          <w:bCs w:val="0"/>
          <w:color w:val="auto"/>
          <w:sz w:val="21"/>
          <w:szCs w:val="21"/>
          <w:highlight w:val="none"/>
        </w:rPr>
        <w:t>https://ecp.sgcc.com.cn</w:t>
      </w:r>
      <w:r>
        <w:rPr>
          <w:rFonts w:hint="eastAsia" w:asciiTheme="minorEastAsia" w:hAnsiTheme="minorEastAsia" w:eastAsiaTheme="minorEastAsia" w:cstheme="minorEastAsia"/>
          <w:b w:val="0"/>
          <w:bCs w:val="0"/>
          <w:color w:val="auto"/>
          <w:sz w:val="21"/>
          <w:szCs w:val="21"/>
          <w:highlight w:val="none"/>
          <w:lang w:eastAsia="zh-CN"/>
        </w:rPr>
        <w:t>）及</w:t>
      </w:r>
      <w:r>
        <w:rPr>
          <w:rFonts w:hint="eastAsia" w:asciiTheme="minorEastAsia" w:hAnsiTheme="minorEastAsia" w:eastAsiaTheme="minorEastAsia" w:cstheme="minorEastAsia"/>
          <w:b w:val="0"/>
          <w:bCs w:val="0"/>
          <w:color w:val="auto"/>
          <w:sz w:val="21"/>
          <w:szCs w:val="21"/>
          <w:highlight w:val="none"/>
          <w:lang w:val="en-US" w:eastAsia="zh-CN"/>
        </w:rPr>
        <w:t>“鈞巧系统”（http://202.100.20.94）</w:t>
      </w:r>
      <w:r>
        <w:rPr>
          <w:rFonts w:hint="eastAsia" w:asciiTheme="minorEastAsia" w:hAnsiTheme="minorEastAsia" w:eastAsiaTheme="minorEastAsia" w:cstheme="minorEastAsia"/>
          <w:b w:val="0"/>
          <w:bCs w:val="0"/>
          <w:color w:val="auto"/>
          <w:sz w:val="21"/>
          <w:szCs w:val="21"/>
          <w:highlight w:val="none"/>
        </w:rPr>
        <w:t>。</w:t>
      </w:r>
    </w:p>
    <w:p>
      <w:pPr>
        <w:keepNext w:val="0"/>
        <w:keepLines w:val="0"/>
        <w:pageBreakBefore w:val="0"/>
        <w:widowControl w:val="0"/>
        <w:tabs>
          <w:tab w:val="left" w:pos="620"/>
        </w:tabs>
        <w:kinsoku/>
        <w:wordWrap/>
        <w:overflowPunct/>
        <w:topLinePunct w:val="0"/>
        <w:bidi w:val="0"/>
        <w:adjustRightInd/>
        <w:snapToGrid/>
        <w:spacing w:line="400" w:lineRule="exact"/>
        <w:ind w:firstLine="400"/>
        <w:textAlignment w:val="auto"/>
        <w:rPr>
          <w:rFonts w:hint="eastAsia" w:asciiTheme="minorEastAsia" w:hAnsiTheme="minorEastAsia" w:eastAsiaTheme="minorEastAsia" w:cstheme="minorEastAsia"/>
          <w:b w:val="0"/>
          <w:bCs w:val="0"/>
          <w:color w:val="auto"/>
          <w:sz w:val="21"/>
          <w:szCs w:val="21"/>
          <w:highlight w:val="none"/>
        </w:rPr>
      </w:pPr>
      <w:r>
        <w:rPr>
          <w:rFonts w:hint="eastAsia" w:asciiTheme="minorEastAsia" w:hAnsiTheme="minorEastAsia" w:eastAsiaTheme="minorEastAsia" w:cstheme="minorEastAsia"/>
          <w:b/>
          <w:bCs/>
          <w:color w:val="auto"/>
          <w:sz w:val="21"/>
          <w:szCs w:val="21"/>
          <w:highlight w:val="none"/>
        </w:rPr>
        <w:t>电子投标文件</w:t>
      </w:r>
      <w:r>
        <w:rPr>
          <w:rFonts w:hint="eastAsia" w:asciiTheme="minorEastAsia" w:hAnsiTheme="minorEastAsia" w:eastAsiaTheme="minorEastAsia" w:cstheme="minorEastAsia"/>
          <w:b w:val="0"/>
          <w:bCs w:val="0"/>
          <w:color w:val="auto"/>
          <w:sz w:val="21"/>
          <w:szCs w:val="21"/>
          <w:highlight w:val="none"/>
        </w:rPr>
        <w:t>：提交至招标人招投标信息系统</w:t>
      </w:r>
      <w:r>
        <w:rPr>
          <w:rFonts w:hint="eastAsia" w:asciiTheme="minorEastAsia" w:hAnsiTheme="minorEastAsia" w:eastAsiaTheme="minorEastAsia" w:cstheme="minorEastAsia"/>
          <w:b w:val="0"/>
          <w:bCs w:val="0"/>
          <w:color w:val="auto"/>
          <w:sz w:val="21"/>
          <w:szCs w:val="21"/>
          <w:highlight w:val="none"/>
          <w:lang w:val="en-US" w:eastAsia="zh-CN"/>
        </w:rPr>
        <w:t>及</w:t>
      </w:r>
      <w:r>
        <w:rPr>
          <w:rFonts w:hint="eastAsia" w:asciiTheme="minorEastAsia" w:hAnsiTheme="minorEastAsia" w:eastAsiaTheme="minorEastAsia" w:cstheme="minorEastAsia"/>
          <w:b w:val="0"/>
          <w:bCs w:val="0"/>
          <w:color w:val="auto"/>
          <w:sz w:val="21"/>
          <w:szCs w:val="21"/>
          <w:highlight w:val="none"/>
          <w:lang w:eastAsia="zh-CN"/>
        </w:rPr>
        <w:t>鈞巧系统</w:t>
      </w:r>
      <w:r>
        <w:rPr>
          <w:rFonts w:hint="eastAsia" w:asciiTheme="minorEastAsia" w:hAnsiTheme="minorEastAsia" w:eastAsiaTheme="minorEastAsia" w:cstheme="minorEastAsia"/>
          <w:b w:val="0"/>
          <w:bCs w:val="0"/>
          <w:color w:val="auto"/>
          <w:sz w:val="21"/>
          <w:szCs w:val="21"/>
          <w:highlight w:val="none"/>
        </w:rPr>
        <w:t>的投标文件</w:t>
      </w:r>
      <w:r>
        <w:rPr>
          <w:rFonts w:hint="eastAsia" w:asciiTheme="minorEastAsia" w:hAnsiTheme="minorEastAsia" w:eastAsiaTheme="minorEastAsia" w:cstheme="minorEastAsia"/>
          <w:b w:val="0"/>
          <w:bCs w:val="0"/>
          <w:color w:val="auto"/>
          <w:sz w:val="21"/>
          <w:szCs w:val="21"/>
          <w:highlight w:val="none"/>
          <w:lang w:eastAsia="zh-Hans"/>
        </w:rPr>
        <w:t>，</w:t>
      </w:r>
      <w:r>
        <w:rPr>
          <w:rFonts w:hint="eastAsia" w:asciiTheme="minorEastAsia" w:hAnsiTheme="minorEastAsia" w:eastAsiaTheme="minorEastAsia" w:cstheme="minorEastAsia"/>
          <w:b w:val="0"/>
          <w:bCs w:val="0"/>
          <w:color w:val="auto"/>
          <w:sz w:val="21"/>
          <w:szCs w:val="21"/>
          <w:highlight w:val="none"/>
          <w:lang w:val="en-US" w:eastAsia="zh-Hans"/>
        </w:rPr>
        <w:t>详见</w:t>
      </w:r>
      <w:r>
        <w:rPr>
          <w:rFonts w:hint="eastAsia" w:asciiTheme="minorEastAsia" w:hAnsiTheme="minorEastAsia" w:eastAsiaTheme="minorEastAsia" w:cstheme="minorEastAsia"/>
          <w:b w:val="0"/>
          <w:bCs w:val="0"/>
          <w:color w:val="auto"/>
          <w:sz w:val="21"/>
          <w:szCs w:val="21"/>
          <w:highlight w:val="none"/>
          <w:lang w:val="en-US" w:eastAsia="zh-CN"/>
        </w:rPr>
        <w:t>2</w:t>
      </w:r>
      <w:r>
        <w:rPr>
          <w:rFonts w:hint="eastAsia" w:asciiTheme="minorEastAsia" w:hAnsiTheme="minorEastAsia" w:eastAsiaTheme="minorEastAsia" w:cstheme="minorEastAsia"/>
          <w:b w:val="0"/>
          <w:bCs w:val="0"/>
          <w:color w:val="auto"/>
          <w:sz w:val="21"/>
          <w:szCs w:val="21"/>
          <w:highlight w:val="none"/>
          <w:lang w:eastAsia="zh-Hans"/>
        </w:rPr>
        <w:t>.1</w:t>
      </w:r>
      <w:r>
        <w:rPr>
          <w:rFonts w:hint="eastAsia" w:asciiTheme="minorEastAsia" w:hAnsiTheme="minorEastAsia" w:eastAsiaTheme="minorEastAsia" w:cstheme="minorEastAsia"/>
          <w:b w:val="0"/>
          <w:bCs w:val="0"/>
          <w:color w:val="auto"/>
          <w:sz w:val="21"/>
          <w:szCs w:val="21"/>
          <w:highlight w:val="none"/>
        </w:rPr>
        <w:t>。</w:t>
      </w:r>
    </w:p>
    <w:p>
      <w:pPr>
        <w:keepNext w:val="0"/>
        <w:keepLines w:val="0"/>
        <w:pageBreakBefore w:val="0"/>
        <w:widowControl w:val="0"/>
        <w:tabs>
          <w:tab w:val="left" w:pos="620"/>
        </w:tabs>
        <w:kinsoku/>
        <w:wordWrap/>
        <w:overflowPunct/>
        <w:topLinePunct w:val="0"/>
        <w:bidi w:val="0"/>
        <w:spacing w:line="400" w:lineRule="exact"/>
        <w:ind w:firstLine="400"/>
        <w:textAlignment w:val="auto"/>
        <w:rPr>
          <w:rFonts w:hint="eastAsia" w:asciiTheme="minorEastAsia" w:hAnsiTheme="minorEastAsia" w:eastAsiaTheme="minorEastAsia" w:cstheme="minorEastAsia"/>
          <w:b w:val="0"/>
          <w:bCs w:val="0"/>
          <w:color w:val="auto"/>
          <w:sz w:val="21"/>
          <w:szCs w:val="21"/>
          <w:highlight w:val="none"/>
          <w:lang w:eastAsia="zh-CN"/>
        </w:rPr>
      </w:pPr>
      <w:r>
        <w:rPr>
          <w:rFonts w:hint="eastAsia" w:asciiTheme="minorEastAsia" w:hAnsiTheme="minorEastAsia" w:eastAsiaTheme="minorEastAsia" w:cstheme="minorEastAsia"/>
          <w:b w:val="0"/>
          <w:bCs w:val="0"/>
          <w:color w:val="auto"/>
          <w:sz w:val="21"/>
          <w:szCs w:val="21"/>
          <w:lang w:val="en-US" w:eastAsia="zh-CN"/>
        </w:rPr>
        <w:t>2.1</w:t>
      </w:r>
      <w:r>
        <w:rPr>
          <w:rFonts w:hint="eastAsia" w:asciiTheme="minorEastAsia" w:hAnsiTheme="minorEastAsia" w:eastAsiaTheme="minorEastAsia" w:cstheme="minorEastAsia"/>
          <w:b w:val="0"/>
          <w:bCs w:val="0"/>
          <w:color w:val="auto"/>
          <w:sz w:val="21"/>
          <w:szCs w:val="21"/>
        </w:rPr>
        <w:t>电子</w:t>
      </w:r>
      <w:r>
        <w:rPr>
          <w:rFonts w:hint="eastAsia" w:asciiTheme="minorEastAsia" w:hAnsiTheme="minorEastAsia" w:eastAsiaTheme="minorEastAsia" w:cstheme="minorEastAsia"/>
          <w:b w:val="0"/>
          <w:bCs w:val="0"/>
          <w:color w:val="auto"/>
          <w:sz w:val="21"/>
          <w:szCs w:val="21"/>
          <w:lang w:val="en-US" w:eastAsia="zh-CN"/>
        </w:rPr>
        <w:t>投标</w:t>
      </w:r>
      <w:r>
        <w:rPr>
          <w:rFonts w:hint="eastAsia" w:asciiTheme="minorEastAsia" w:hAnsiTheme="minorEastAsia" w:eastAsiaTheme="minorEastAsia" w:cstheme="minorEastAsia"/>
          <w:b w:val="0"/>
          <w:bCs w:val="0"/>
          <w:color w:val="auto"/>
          <w:sz w:val="21"/>
          <w:szCs w:val="21"/>
        </w:rPr>
        <w:t>文件</w:t>
      </w:r>
      <w:r>
        <w:rPr>
          <w:rFonts w:hint="eastAsia" w:asciiTheme="minorEastAsia" w:hAnsiTheme="minorEastAsia" w:eastAsiaTheme="minorEastAsia" w:cstheme="minorEastAsia"/>
          <w:b w:val="0"/>
          <w:bCs w:val="0"/>
          <w:color w:val="auto"/>
          <w:sz w:val="21"/>
          <w:szCs w:val="21"/>
          <w:highlight w:val="none"/>
          <w:lang w:eastAsia="zh-CN"/>
        </w:rPr>
        <w:t>（国家电网</w:t>
      </w:r>
      <w:r>
        <w:rPr>
          <w:rFonts w:hint="eastAsia" w:asciiTheme="minorEastAsia" w:hAnsiTheme="minorEastAsia" w:eastAsiaTheme="minorEastAsia" w:cstheme="minorEastAsia"/>
          <w:b w:val="0"/>
          <w:bCs w:val="0"/>
          <w:color w:val="auto"/>
          <w:sz w:val="21"/>
          <w:szCs w:val="21"/>
          <w:highlight w:val="none"/>
        </w:rPr>
        <w:t>电子商务平台</w:t>
      </w:r>
      <w:r>
        <w:rPr>
          <w:rFonts w:hint="eastAsia" w:asciiTheme="minorEastAsia" w:hAnsiTheme="minorEastAsia" w:eastAsiaTheme="minorEastAsia" w:cstheme="minorEastAsia"/>
          <w:b w:val="0"/>
          <w:bCs w:val="0"/>
          <w:color w:val="auto"/>
          <w:sz w:val="21"/>
          <w:szCs w:val="21"/>
          <w:highlight w:val="none"/>
          <w:lang w:val="en-US" w:eastAsia="zh-CN"/>
        </w:rPr>
        <w:t>及</w:t>
      </w:r>
      <w:r>
        <w:rPr>
          <w:rFonts w:hint="eastAsia" w:asciiTheme="minorEastAsia" w:hAnsiTheme="minorEastAsia" w:eastAsiaTheme="minorEastAsia" w:cstheme="minorEastAsia"/>
          <w:b w:val="0"/>
          <w:bCs w:val="0"/>
          <w:color w:val="auto"/>
          <w:sz w:val="21"/>
          <w:szCs w:val="21"/>
          <w:highlight w:val="none"/>
          <w:lang w:eastAsia="zh-CN"/>
        </w:rPr>
        <w:t>鈞巧系统）</w:t>
      </w:r>
    </w:p>
    <w:p>
      <w:pPr>
        <w:adjustRightInd w:val="0"/>
        <w:snapToGrid w:val="0"/>
        <w:spacing w:line="400" w:lineRule="exact"/>
        <w:ind w:firstLine="420" w:firstLineChars="20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电子投标文件应在投标文件递交时间截止前（</w:t>
      </w:r>
      <w:r>
        <w:rPr>
          <w:rFonts w:hint="eastAsia" w:asciiTheme="minorEastAsia" w:hAnsiTheme="minorEastAsia" w:eastAsiaTheme="minorEastAsia" w:cstheme="minorEastAsia"/>
          <w:b w:val="0"/>
          <w:bCs w:val="0"/>
          <w:color w:val="auto"/>
          <w:kern w:val="2"/>
          <w:sz w:val="21"/>
          <w:szCs w:val="21"/>
          <w:highlight w:val="yellow"/>
          <w:lang w:val="en-US" w:eastAsia="zh-CN" w:bidi="ar-SA"/>
        </w:rPr>
        <w:t>2025年12月26日10:30</w:t>
      </w:r>
      <w:r>
        <w:rPr>
          <w:rFonts w:hint="eastAsia" w:asciiTheme="minorEastAsia" w:hAnsiTheme="minorEastAsia" w:eastAsiaTheme="minorEastAsia" w:cstheme="minorEastAsia"/>
          <w:b w:val="0"/>
          <w:bCs w:val="0"/>
          <w:color w:val="auto"/>
          <w:kern w:val="2"/>
          <w:sz w:val="21"/>
          <w:szCs w:val="21"/>
          <w:highlight w:val="none"/>
          <w:lang w:val="en-US" w:eastAsia="zh-CN" w:bidi="ar-SA"/>
        </w:rPr>
        <w:t>之前）提交至招标人招投标信息系统国家电网有限公司电子商务平台（https://ecp.sgcc.com.cn）及鈞巧系统（http://202.100.20.94）。</w:t>
      </w:r>
    </w:p>
    <w:p>
      <w:pPr>
        <w:keepNext w:val="0"/>
        <w:keepLines w:val="0"/>
        <w:pageBreakBefore w:val="0"/>
        <w:widowControl w:val="0"/>
        <w:tabs>
          <w:tab w:val="left" w:pos="620"/>
        </w:tabs>
        <w:kinsoku/>
        <w:wordWrap/>
        <w:overflowPunct/>
        <w:topLinePunct w:val="0"/>
        <w:bidi w:val="0"/>
        <w:adjustRightInd/>
        <w:snapToGrid/>
        <w:spacing w:line="400" w:lineRule="exact"/>
        <w:ind w:firstLine="400"/>
        <w:textAlignment w:val="auto"/>
        <w:rPr>
          <w:rFonts w:hint="eastAsia" w:asciiTheme="minorEastAsia" w:hAnsiTheme="minorEastAsia" w:eastAsiaTheme="minorEastAsia" w:cstheme="minorEastAsia"/>
          <w:b/>
          <w:bCs/>
          <w:color w:val="auto"/>
          <w:sz w:val="21"/>
          <w:szCs w:val="21"/>
          <w:highlight w:val="none"/>
          <w:lang w:val="en-US" w:eastAsia="zh-CN"/>
        </w:rPr>
      </w:pPr>
      <w:r>
        <w:rPr>
          <w:rFonts w:hint="eastAsia" w:asciiTheme="minorEastAsia" w:hAnsiTheme="minorEastAsia" w:eastAsiaTheme="minorEastAsia" w:cstheme="minorEastAsia"/>
          <w:b/>
          <w:bCs/>
          <w:color w:val="auto"/>
          <w:sz w:val="21"/>
          <w:szCs w:val="21"/>
          <w:highlight w:val="none"/>
          <w:lang w:val="en-US" w:eastAsia="zh-CN"/>
        </w:rPr>
        <w:t>电子投标文件的上传说明</w:t>
      </w:r>
    </w:p>
    <w:tbl>
      <w:tblPr>
        <w:tblStyle w:val="16"/>
        <w:tblW w:w="83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615"/>
        <w:gridCol w:w="2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906" w:type="dxa"/>
            <w:noWrap w:val="0"/>
            <w:vAlign w:val="center"/>
          </w:tcPr>
          <w:p>
            <w:pPr>
              <w:widowControl/>
              <w:jc w:val="center"/>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电子投标文件内容</w:t>
            </w:r>
          </w:p>
        </w:tc>
        <w:tc>
          <w:tcPr>
            <w:tcW w:w="3615" w:type="dxa"/>
            <w:noWrap w:val="0"/>
            <w:vAlign w:val="center"/>
          </w:tcPr>
          <w:p>
            <w:pPr>
              <w:widowControl/>
              <w:jc w:val="center"/>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文件上传要求</w:t>
            </w:r>
          </w:p>
        </w:tc>
        <w:tc>
          <w:tcPr>
            <w:tcW w:w="2791" w:type="dxa"/>
            <w:noWrap w:val="0"/>
            <w:vAlign w:val="center"/>
          </w:tcPr>
          <w:p>
            <w:pPr>
              <w:widowControl/>
              <w:jc w:val="center"/>
              <w:rPr>
                <w:rFonts w:hint="eastAsia" w:ascii="宋体" w:hAnsi="宋体" w:eastAsia="宋体" w:cs="宋体"/>
                <w:b/>
                <w:bCs/>
                <w:kern w:val="0"/>
                <w:sz w:val="21"/>
                <w:szCs w:val="21"/>
                <w:highlight w:val="none"/>
              </w:rPr>
            </w:pPr>
            <w:r>
              <w:rPr>
                <w:rFonts w:hint="eastAsia" w:ascii="宋体" w:hAnsi="宋体" w:eastAsia="宋体" w:cs="宋体"/>
                <w:b/>
                <w:bCs/>
                <w:kern w:val="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6" w:type="dxa"/>
            <w:noWrap w:val="0"/>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开标文件</w:t>
            </w:r>
          </w:p>
        </w:tc>
        <w:tc>
          <w:tcPr>
            <w:tcW w:w="3615" w:type="dxa"/>
            <w:noWrap w:val="0"/>
            <w:vAlign w:val="center"/>
          </w:tcPr>
          <w:p>
            <w:pPr>
              <w:widowControl/>
              <w:jc w:val="center"/>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rPr>
              <w:t>上传至</w:t>
            </w:r>
            <w:r>
              <w:rPr>
                <w:rFonts w:hint="eastAsia" w:ascii="宋体" w:hAnsi="宋体" w:eastAsia="宋体" w:cs="宋体"/>
                <w:kern w:val="0"/>
                <w:sz w:val="21"/>
                <w:szCs w:val="21"/>
                <w:highlight w:val="none"/>
                <w:lang w:val="en-US" w:eastAsia="zh-CN"/>
              </w:rPr>
              <w:t>国家电网有限公司电子商务平台（ECP）</w:t>
            </w:r>
          </w:p>
        </w:tc>
        <w:tc>
          <w:tcPr>
            <w:tcW w:w="2791" w:type="dxa"/>
            <w:vMerge w:val="restart"/>
            <w:noWrap w:val="0"/>
            <w:vAlign w:val="center"/>
          </w:tcPr>
          <w:p>
            <w:pPr>
              <w:widowControl/>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lang w:val="en-US" w:eastAsia="zh-CN"/>
              </w:rPr>
              <w:t>若投标人同时在ECP及鈞巧系统上传了同类型投标文件，则报价部分以ECP上传文件为准，技术文件、商务文件以鈞巧系统上传文件为准。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6" w:type="dxa"/>
            <w:noWrap w:val="0"/>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商务文件</w:t>
            </w:r>
          </w:p>
        </w:tc>
        <w:tc>
          <w:tcPr>
            <w:tcW w:w="3615" w:type="dxa"/>
            <w:noWrap w:val="0"/>
            <w:vAlign w:val="center"/>
          </w:tcPr>
          <w:p>
            <w:pPr>
              <w:widowControl/>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上传至</w:t>
            </w:r>
            <w:r>
              <w:rPr>
                <w:rFonts w:hint="eastAsia" w:ascii="宋体" w:hAnsi="宋体" w:eastAsia="宋体" w:cs="宋体"/>
                <w:kern w:val="0"/>
                <w:sz w:val="21"/>
                <w:szCs w:val="21"/>
                <w:highlight w:val="none"/>
                <w:lang w:val="en-US" w:eastAsia="zh-CN"/>
              </w:rPr>
              <w:t>鈞巧系统</w:t>
            </w:r>
          </w:p>
          <w:p>
            <w:pPr>
              <w:widowControl/>
              <w:jc w:val="center"/>
              <w:rPr>
                <w:rFonts w:hint="eastAsia" w:ascii="宋体" w:hAnsi="宋体" w:eastAsia="宋体" w:cs="宋体"/>
                <w:kern w:val="0"/>
                <w:sz w:val="21"/>
                <w:szCs w:val="21"/>
                <w:highlight w:val="none"/>
                <w:lang w:val="en-US"/>
              </w:rPr>
            </w:pPr>
            <w:r>
              <w:rPr>
                <w:rFonts w:hint="eastAsia" w:ascii="宋体" w:hAnsi="宋体" w:eastAsia="宋体" w:cs="宋体"/>
                <w:kern w:val="0"/>
                <w:sz w:val="21"/>
                <w:szCs w:val="21"/>
                <w:highlight w:val="none"/>
                <w:lang w:val="en-US" w:eastAsia="zh-CN"/>
              </w:rPr>
              <w:t>(请勿给文件设置密码)</w:t>
            </w:r>
          </w:p>
        </w:tc>
        <w:tc>
          <w:tcPr>
            <w:tcW w:w="2791" w:type="dxa"/>
            <w:vMerge w:val="continue"/>
            <w:noWrap w:val="0"/>
            <w:vAlign w:val="center"/>
          </w:tcPr>
          <w:p>
            <w:pPr>
              <w:widowControl/>
              <w:jc w:val="left"/>
              <w:rPr>
                <w:rFonts w:ascii="宋体" w:hAnsi="宋体" w:cs="宋体"/>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06" w:type="dxa"/>
            <w:noWrap w:val="0"/>
            <w:vAlign w:val="center"/>
          </w:tcPr>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技术文件</w:t>
            </w:r>
          </w:p>
        </w:tc>
        <w:tc>
          <w:tcPr>
            <w:tcW w:w="3615" w:type="dxa"/>
            <w:noWrap w:val="0"/>
            <w:vAlign w:val="center"/>
          </w:tcPr>
          <w:p>
            <w:pPr>
              <w:widowControl/>
              <w:jc w:val="center"/>
              <w:rPr>
                <w:rFonts w:hint="eastAsia" w:ascii="宋体" w:hAnsi="宋体" w:eastAsia="宋体" w:cs="宋体"/>
                <w:kern w:val="0"/>
                <w:sz w:val="21"/>
                <w:szCs w:val="21"/>
                <w:highlight w:val="none"/>
                <w:lang w:val="en-US" w:eastAsia="zh-CN"/>
              </w:rPr>
            </w:pPr>
            <w:r>
              <w:rPr>
                <w:rFonts w:hint="eastAsia" w:ascii="宋体" w:hAnsi="宋体" w:eastAsia="宋体" w:cs="宋体"/>
                <w:kern w:val="0"/>
                <w:sz w:val="21"/>
                <w:szCs w:val="21"/>
                <w:highlight w:val="none"/>
              </w:rPr>
              <w:t>上传至</w:t>
            </w:r>
            <w:r>
              <w:rPr>
                <w:rFonts w:hint="eastAsia" w:ascii="宋体" w:hAnsi="宋体" w:eastAsia="宋体" w:cs="宋体"/>
                <w:kern w:val="0"/>
                <w:sz w:val="21"/>
                <w:szCs w:val="21"/>
                <w:highlight w:val="none"/>
                <w:lang w:val="en-US" w:eastAsia="zh-CN"/>
              </w:rPr>
              <w:t>鈞巧系统</w:t>
            </w:r>
          </w:p>
          <w:p>
            <w:pPr>
              <w:widowControl/>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lang w:val="en-US" w:eastAsia="zh-CN"/>
              </w:rPr>
              <w:t>(请勿给文件设置密码)</w:t>
            </w:r>
          </w:p>
        </w:tc>
        <w:tc>
          <w:tcPr>
            <w:tcW w:w="2791" w:type="dxa"/>
            <w:vMerge w:val="continue"/>
            <w:noWrap w:val="0"/>
            <w:vAlign w:val="center"/>
          </w:tcPr>
          <w:p>
            <w:pPr>
              <w:widowControl/>
              <w:jc w:val="left"/>
              <w:rPr>
                <w:rFonts w:ascii="宋体" w:hAnsi="宋体" w:cs="宋体"/>
                <w:kern w:val="0"/>
                <w:sz w:val="20"/>
                <w:szCs w:val="20"/>
                <w:highlight w:val="none"/>
              </w:rPr>
            </w:pPr>
          </w:p>
        </w:tc>
      </w:tr>
    </w:tbl>
    <w:p>
      <w:pPr>
        <w:pStyle w:val="5"/>
        <w:ind w:left="0" w:leftChars="0" w:firstLine="0" w:firstLineChars="0"/>
        <w:rPr>
          <w:rFonts w:hint="eastAsia"/>
          <w:b/>
          <w:bCs/>
          <w:sz w:val="22"/>
          <w:szCs w:val="21"/>
          <w:highlight w:val="none"/>
          <w:lang w:eastAsia="zh-CN"/>
        </w:rPr>
      </w:pP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2.1.1电子投标文件（国家电网有限公司电子商务平台部分）</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投标人应在投标文件递交时间截止前（</w:t>
      </w:r>
      <w:r>
        <w:rPr>
          <w:rFonts w:hint="eastAsia" w:asciiTheme="minorEastAsia" w:hAnsiTheme="minorEastAsia" w:eastAsiaTheme="minorEastAsia" w:cstheme="minorEastAsia"/>
          <w:b w:val="0"/>
          <w:bCs w:val="0"/>
          <w:color w:val="auto"/>
          <w:kern w:val="2"/>
          <w:sz w:val="21"/>
          <w:szCs w:val="21"/>
          <w:highlight w:val="yellow"/>
          <w:lang w:val="en-US" w:eastAsia="zh-CN" w:bidi="ar-SA"/>
        </w:rPr>
        <w:t>2025年12月26日10:30</w:t>
      </w:r>
      <w:r>
        <w:rPr>
          <w:rFonts w:hint="eastAsia" w:asciiTheme="minorEastAsia" w:hAnsiTheme="minorEastAsia" w:eastAsiaTheme="minorEastAsia" w:cstheme="minorEastAsia"/>
          <w:b w:val="0"/>
          <w:bCs w:val="0"/>
          <w:color w:val="auto"/>
          <w:sz w:val="21"/>
          <w:szCs w:val="21"/>
          <w:highlight w:val="none"/>
          <w:lang w:val="en-US" w:eastAsia="zh-CN"/>
        </w:rPr>
        <w:t>之前）提交至国家电网公司新一代电子商务平台（https://ecp.sgcc.com.cn）；请投标人确保上传的投标文件完整、无损，如因投标人原因，造成电子文档提前泄密、无法解密或解密后损毁，责任由投标人自行承担。</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本批次投标人仅需使用电子商务平台供应商投标工具上传报价文件。</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yellow"/>
          <w:lang w:val="en-US" w:eastAsia="zh-CN"/>
        </w:rPr>
        <w:t>参与限授标段为</w:t>
      </w:r>
      <w:r>
        <w:rPr>
          <w:rFonts w:hint="eastAsia" w:asciiTheme="minorEastAsia" w:hAnsiTheme="minorEastAsia" w:eastAsiaTheme="minorEastAsia" w:cstheme="minorEastAsia"/>
          <w:b/>
          <w:bCs/>
          <w:color w:val="FF0000"/>
          <w:sz w:val="21"/>
          <w:szCs w:val="21"/>
          <w:highlight w:val="yellow"/>
          <w:lang w:val="en-US" w:eastAsia="zh-CN"/>
        </w:rPr>
        <w:t>比例报价</w:t>
      </w:r>
      <w:r>
        <w:rPr>
          <w:rFonts w:hint="eastAsia" w:asciiTheme="minorEastAsia" w:hAnsiTheme="minorEastAsia" w:eastAsiaTheme="minorEastAsia" w:cstheme="minorEastAsia"/>
          <w:b w:val="0"/>
          <w:bCs w:val="0"/>
          <w:color w:val="auto"/>
          <w:sz w:val="21"/>
          <w:szCs w:val="21"/>
          <w:highlight w:val="yellow"/>
          <w:lang w:val="en-US" w:eastAsia="zh-CN"/>
        </w:rPr>
        <w:t>（限授标段见本公告项目需求一览表）投标的，必须参与所投标段全部分包的投标，且全部分包报价必须一致。如投标人同一限授标段内不同分包报价不一致的，则此标段所有投标将被否决。</w:t>
      </w:r>
      <w:r>
        <w:rPr>
          <w:rFonts w:hint="eastAsia" w:asciiTheme="minorEastAsia" w:hAnsiTheme="minorEastAsia" w:eastAsiaTheme="minorEastAsia" w:cstheme="minorEastAsia"/>
          <w:b/>
          <w:bCs/>
          <w:color w:val="FF0000"/>
          <w:sz w:val="21"/>
          <w:szCs w:val="21"/>
          <w:highlight w:val="yellow"/>
          <w:lang w:val="en-US" w:eastAsia="zh-CN"/>
        </w:rPr>
        <w:t>比例报价</w:t>
      </w:r>
      <w:r>
        <w:rPr>
          <w:rFonts w:hint="eastAsia" w:asciiTheme="minorEastAsia" w:hAnsiTheme="minorEastAsia" w:eastAsiaTheme="minorEastAsia" w:cstheme="minorEastAsia"/>
          <w:b w:val="0"/>
          <w:bCs w:val="0"/>
          <w:color w:val="auto"/>
          <w:sz w:val="21"/>
          <w:szCs w:val="21"/>
          <w:highlight w:val="yellow"/>
          <w:lang w:val="en-US" w:eastAsia="zh-CN"/>
        </w:rPr>
        <w:t>的限授标段技术文件及商务文件以分标为单位进行上传，仅上传所投标段包001的技术文件及商务文件。</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2.1.2电子投标文件（鈞巧系统部分）</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在</w:t>
      </w:r>
      <w:r>
        <w:rPr>
          <w:rFonts w:hint="eastAsia" w:asciiTheme="minorEastAsia" w:hAnsiTheme="minorEastAsia" w:eastAsiaTheme="minorEastAsia" w:cstheme="minorEastAsia"/>
          <w:b w:val="0"/>
          <w:bCs w:val="0"/>
          <w:color w:val="auto"/>
          <w:kern w:val="2"/>
          <w:sz w:val="21"/>
          <w:szCs w:val="21"/>
          <w:highlight w:val="yellow"/>
          <w:lang w:val="en-US" w:eastAsia="zh-CN" w:bidi="ar-SA"/>
        </w:rPr>
        <w:t>2025年12月15日17:00</w:t>
      </w:r>
      <w:r>
        <w:rPr>
          <w:rFonts w:hint="eastAsia" w:asciiTheme="minorEastAsia" w:hAnsiTheme="minorEastAsia" w:eastAsiaTheme="minorEastAsia" w:cstheme="minorEastAsia"/>
          <w:b w:val="0"/>
          <w:bCs w:val="0"/>
          <w:color w:val="auto"/>
          <w:sz w:val="21"/>
          <w:szCs w:val="21"/>
          <w:highlight w:val="none"/>
          <w:lang w:val="en-US" w:eastAsia="zh-CN"/>
        </w:rPr>
        <w:t>之后至投标截止时间前（</w:t>
      </w:r>
      <w:r>
        <w:rPr>
          <w:rFonts w:hint="eastAsia" w:asciiTheme="minorEastAsia" w:hAnsiTheme="minorEastAsia" w:eastAsiaTheme="minorEastAsia" w:cstheme="minorEastAsia"/>
          <w:b w:val="0"/>
          <w:bCs w:val="0"/>
          <w:color w:val="auto"/>
          <w:kern w:val="2"/>
          <w:sz w:val="21"/>
          <w:szCs w:val="21"/>
          <w:highlight w:val="yellow"/>
          <w:lang w:val="en-US" w:eastAsia="zh-CN" w:bidi="ar-SA"/>
        </w:rPr>
        <w:t>2025年12月26日10:30</w:t>
      </w:r>
      <w:r>
        <w:rPr>
          <w:rFonts w:hint="eastAsia" w:asciiTheme="minorEastAsia" w:hAnsiTheme="minorEastAsia" w:eastAsiaTheme="minorEastAsia" w:cstheme="minorEastAsia"/>
          <w:b w:val="0"/>
          <w:bCs w:val="0"/>
          <w:color w:val="auto"/>
          <w:sz w:val="21"/>
          <w:szCs w:val="21"/>
          <w:highlight w:val="none"/>
          <w:lang w:val="en-US" w:eastAsia="zh-CN"/>
        </w:rPr>
        <w:t>之前），将全部完整技术投标文件、商务投标文件的双层PDF版文件上传至“鈞巧系统”（网址：</w:t>
      </w:r>
      <w:r>
        <w:rPr>
          <w:rFonts w:hint="eastAsia" w:asciiTheme="minorEastAsia" w:hAnsiTheme="minorEastAsia" w:eastAsiaTheme="minorEastAsia" w:cstheme="minorEastAsia"/>
          <w:b w:val="0"/>
          <w:bCs w:val="0"/>
          <w:color w:val="auto"/>
          <w:sz w:val="21"/>
          <w:szCs w:val="21"/>
          <w:highlight w:val="none"/>
          <w:lang w:val="en-US" w:eastAsia="zh-CN"/>
        </w:rPr>
        <w:fldChar w:fldCharType="begin"/>
      </w:r>
      <w:r>
        <w:rPr>
          <w:rFonts w:hint="eastAsia" w:asciiTheme="minorEastAsia" w:hAnsiTheme="minorEastAsia" w:eastAsiaTheme="minorEastAsia" w:cstheme="minorEastAsia"/>
          <w:b w:val="0"/>
          <w:bCs w:val="0"/>
          <w:color w:val="auto"/>
          <w:sz w:val="21"/>
          <w:szCs w:val="21"/>
          <w:highlight w:val="none"/>
          <w:lang w:val="en-US" w:eastAsia="zh-CN"/>
        </w:rPr>
        <w:instrText xml:space="preserve"> HYPERLINK "http://202.100.20.94，具体操作流程详见鈞巧系统\“新手帮助\”栏\“标书递交\”手册）。请投标人确保上传的投标文件完整、无损，如因投标人原因，造成电子文档提前泄密、无法解密或解密后损毁，责任由投标人自行承担。" </w:instrText>
      </w:r>
      <w:r>
        <w:rPr>
          <w:rFonts w:hint="eastAsia" w:asciiTheme="minorEastAsia" w:hAnsiTheme="minorEastAsia" w:eastAsiaTheme="minorEastAsia" w:cstheme="minorEastAsia"/>
          <w:b w:val="0"/>
          <w:bCs w:val="0"/>
          <w:color w:val="auto"/>
          <w:sz w:val="21"/>
          <w:szCs w:val="21"/>
          <w:highlight w:val="none"/>
          <w:lang w:val="en-US" w:eastAsia="zh-CN"/>
        </w:rPr>
        <w:fldChar w:fldCharType="separate"/>
      </w:r>
      <w:r>
        <w:rPr>
          <w:rFonts w:hint="eastAsia" w:asciiTheme="minorEastAsia" w:hAnsiTheme="minorEastAsia" w:eastAsiaTheme="minorEastAsia" w:cstheme="minorEastAsia"/>
          <w:b w:val="0"/>
          <w:bCs w:val="0"/>
          <w:color w:val="auto"/>
          <w:sz w:val="21"/>
          <w:szCs w:val="21"/>
          <w:highlight w:val="none"/>
          <w:lang w:val="en-US" w:eastAsia="zh-CN"/>
        </w:rPr>
        <w:t>http://202.100.20.94，具体操作流程详见鈞巧系统“新手帮助”栏“标书递交”手册）。请投标人确保上传的投标文件完整、无损，如因投标人原因，造成电子文档提前泄密、无法解密或解密后损毁，责任由投标人自行承担。</w:t>
      </w:r>
      <w:r>
        <w:rPr>
          <w:rFonts w:hint="eastAsia" w:asciiTheme="minorEastAsia" w:hAnsiTheme="minorEastAsia" w:eastAsiaTheme="minorEastAsia" w:cstheme="minorEastAsia"/>
          <w:b w:val="0"/>
          <w:bCs w:val="0"/>
          <w:color w:val="auto"/>
          <w:sz w:val="21"/>
          <w:szCs w:val="21"/>
          <w:highlight w:val="none"/>
          <w:lang w:val="en-US" w:eastAsia="zh-CN"/>
        </w:rPr>
        <w:fldChar w:fldCharType="end"/>
      </w:r>
    </w:p>
    <w:p>
      <w:pPr>
        <w:pStyle w:val="5"/>
        <w:keepNext w:val="0"/>
        <w:keepLines w:val="0"/>
        <w:pageBreakBefore w:val="0"/>
        <w:widowControl w:val="0"/>
        <w:kinsoku/>
        <w:wordWrap/>
        <w:overflowPunct/>
        <w:topLinePunct w:val="0"/>
        <w:bidi w:val="0"/>
        <w:spacing w:line="400" w:lineRule="exact"/>
        <w:textAlignment w:val="auto"/>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上传地址为“标书递交—技术文件”、“标书递交—商务文件”</w:t>
      </w:r>
    </w:p>
    <w:p>
      <w:pPr>
        <w:pStyle w:val="2"/>
        <w:rPr>
          <w:rFonts w:hint="eastAsia"/>
          <w:lang w:val="en-US" w:eastAsia="zh-CN"/>
        </w:rPr>
      </w:pPr>
      <w:r>
        <w:rPr>
          <w:rFonts w:hint="eastAsia" w:ascii="宋体" w:hAnsi="宋体" w:eastAsia="宋体" w:cs="宋体"/>
          <w:b/>
          <w:bCs/>
          <w:sz w:val="21"/>
          <w:szCs w:val="21"/>
          <w:highlight w:val="yellow"/>
          <w:lang w:val="en-US" w:eastAsia="zh-CN"/>
        </w:rPr>
        <w:drawing>
          <wp:inline distT="0" distB="0" distL="114300" distR="114300">
            <wp:extent cx="5257800" cy="2606040"/>
            <wp:effectExtent l="0" t="0" r="0" b="3810"/>
            <wp:docPr id="6"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片1"/>
                    <pic:cNvPicPr>
                      <a:picLocks noChangeAspect="1"/>
                    </pic:cNvPicPr>
                  </pic:nvPicPr>
                  <pic:blipFill>
                    <a:blip r:embed="rId10"/>
                    <a:stretch>
                      <a:fillRect/>
                    </a:stretch>
                  </pic:blipFill>
                  <pic:spPr>
                    <a:xfrm>
                      <a:off x="0" y="0"/>
                      <a:ext cx="5257800" cy="2606040"/>
                    </a:xfrm>
                    <a:prstGeom prst="rect">
                      <a:avLst/>
                    </a:prstGeom>
                    <a:noFill/>
                    <a:ln>
                      <a:noFill/>
                    </a:ln>
                  </pic:spPr>
                </pic:pic>
              </a:graphicData>
            </a:graphic>
          </wp:inline>
        </w:drawing>
      </w:r>
    </w:p>
    <w:p>
      <w:pPr>
        <w:pStyle w:val="5"/>
        <w:rPr>
          <w:rFonts w:hint="default" w:cs="Times New Roman"/>
          <w:b/>
          <w:bCs/>
          <w:sz w:val="20"/>
          <w:szCs w:val="20"/>
          <w:highlight w:val="none"/>
          <w:lang w:val="en-US" w:eastAsia="zh-CN"/>
        </w:rPr>
      </w:pP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本批次投标人仅需使用“鈞巧系统”上传技术、商务投标文件，技术投标文件及商务投标文件单包大小限制均为100Mb，</w:t>
      </w:r>
      <w:r>
        <w:rPr>
          <w:rFonts w:hint="default" w:asciiTheme="minorEastAsia" w:hAnsiTheme="minorEastAsia" w:eastAsiaTheme="minorEastAsia" w:cstheme="minorEastAsia"/>
          <w:b w:val="0"/>
          <w:bCs w:val="0"/>
          <w:color w:val="auto"/>
          <w:sz w:val="21"/>
          <w:szCs w:val="21"/>
          <w:highlight w:val="none"/>
          <w:lang w:val="en-US" w:eastAsia="zh-CN"/>
        </w:rPr>
        <w:t>若超过</w:t>
      </w:r>
      <w:r>
        <w:rPr>
          <w:rFonts w:hint="eastAsia" w:asciiTheme="minorEastAsia" w:hAnsiTheme="minorEastAsia" w:eastAsiaTheme="minorEastAsia" w:cstheme="minorEastAsia"/>
          <w:b w:val="0"/>
          <w:bCs w:val="0"/>
          <w:color w:val="auto"/>
          <w:sz w:val="21"/>
          <w:szCs w:val="21"/>
          <w:highlight w:val="none"/>
          <w:lang w:val="en-US" w:eastAsia="zh-CN"/>
        </w:rPr>
        <w:t>100Mb</w:t>
      </w:r>
      <w:r>
        <w:rPr>
          <w:rFonts w:hint="default" w:asciiTheme="minorEastAsia" w:hAnsiTheme="minorEastAsia" w:eastAsiaTheme="minorEastAsia" w:cstheme="minorEastAsia"/>
          <w:b w:val="0"/>
          <w:bCs w:val="0"/>
          <w:color w:val="auto"/>
          <w:sz w:val="21"/>
          <w:szCs w:val="21"/>
          <w:highlight w:val="none"/>
          <w:lang w:val="en-US" w:eastAsia="zh-CN"/>
        </w:rPr>
        <w:t>，建议投标人首先应用word自带压缩功能对投标文件进行压缩</w:t>
      </w:r>
      <w:r>
        <w:rPr>
          <w:rFonts w:hint="eastAsia" w:asciiTheme="minorEastAsia" w:hAnsiTheme="minorEastAsia" w:eastAsiaTheme="minorEastAsia" w:cstheme="minorEastAsia"/>
          <w:b w:val="0"/>
          <w:bCs w:val="0"/>
          <w:color w:val="auto"/>
          <w:sz w:val="21"/>
          <w:szCs w:val="21"/>
          <w:highlight w:val="none"/>
          <w:lang w:val="en-US" w:eastAsia="zh-CN"/>
        </w:rPr>
        <w:t>。</w:t>
      </w:r>
    </w:p>
    <w:p>
      <w:pPr>
        <w:pStyle w:val="5"/>
        <w:keepNext w:val="0"/>
        <w:keepLines w:val="0"/>
        <w:pageBreakBefore w:val="0"/>
        <w:kinsoku/>
        <w:overflowPunct/>
        <w:topLinePunct w:val="0"/>
        <w:bidi w:val="0"/>
        <w:spacing w:line="400" w:lineRule="exact"/>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default" w:asciiTheme="minorEastAsia" w:hAnsiTheme="minorEastAsia" w:eastAsiaTheme="minorEastAsia" w:cstheme="minorEastAsia"/>
          <w:b w:val="0"/>
          <w:bCs w:val="0"/>
          <w:color w:val="auto"/>
          <w:sz w:val="21"/>
          <w:szCs w:val="21"/>
          <w:highlight w:val="none"/>
          <w:lang w:val="en-US" w:eastAsia="zh-CN"/>
        </w:rPr>
        <w:t>操作步骤</w:t>
      </w:r>
      <w:r>
        <w:rPr>
          <w:rFonts w:hint="eastAsia" w:asciiTheme="minorEastAsia" w:hAnsiTheme="minorEastAsia" w:eastAsiaTheme="minorEastAsia" w:cstheme="minorEastAsia"/>
          <w:b w:val="0"/>
          <w:bCs w:val="0"/>
          <w:color w:val="auto"/>
          <w:sz w:val="21"/>
          <w:szCs w:val="21"/>
          <w:highlight w:val="none"/>
          <w:lang w:val="en-US" w:eastAsia="zh-CN"/>
        </w:rPr>
        <w:t>（仅供参考）</w:t>
      </w:r>
      <w:r>
        <w:rPr>
          <w:rFonts w:hint="default" w:asciiTheme="minorEastAsia" w:hAnsiTheme="minorEastAsia" w:eastAsiaTheme="minorEastAsia" w:cstheme="minorEastAsia"/>
          <w:b w:val="0"/>
          <w:bCs w:val="0"/>
          <w:color w:val="auto"/>
          <w:sz w:val="21"/>
          <w:szCs w:val="21"/>
          <w:highlight w:val="none"/>
          <w:lang w:val="en-US" w:eastAsia="zh-CN"/>
        </w:rPr>
        <w:t>：文件另存为-工具-压缩图片，选择屏幕（150ppi）的图片质量，然后将word另存为一个较小的docx文件</w:t>
      </w:r>
      <w:r>
        <w:rPr>
          <w:rFonts w:hint="eastAsia" w:asciiTheme="minorEastAsia" w:hAnsiTheme="minorEastAsia" w:eastAsiaTheme="minorEastAsia" w:cstheme="minorEastAsia"/>
          <w:b w:val="0"/>
          <w:bCs w:val="0"/>
          <w:color w:val="auto"/>
          <w:sz w:val="21"/>
          <w:szCs w:val="21"/>
          <w:highlight w:val="none"/>
          <w:lang w:val="en-US" w:eastAsia="zh-CN"/>
        </w:rPr>
        <w:t>后转为双层PDF文件</w:t>
      </w:r>
      <w:r>
        <w:rPr>
          <w:rFonts w:hint="default" w:asciiTheme="minorEastAsia" w:hAnsiTheme="minorEastAsia" w:eastAsiaTheme="minorEastAsia" w:cstheme="minorEastAsia"/>
          <w:b w:val="0"/>
          <w:bCs w:val="0"/>
          <w:color w:val="auto"/>
          <w:sz w:val="21"/>
          <w:szCs w:val="21"/>
          <w:highlight w:val="none"/>
          <w:lang w:val="en-US" w:eastAsia="zh-CN"/>
        </w:rPr>
        <w:t>。请投标人压缩文件同时保证清晰度，因清晰度不足无法辨认造成对投标人不利的结果，后果由投标人自行承担。</w:t>
      </w:r>
    </w:p>
    <w:p>
      <w:pPr>
        <w:pStyle w:val="5"/>
        <w:keepNext w:val="0"/>
        <w:keepLines w:val="0"/>
        <w:pageBreakBefore w:val="0"/>
        <w:kinsoku/>
        <w:overflowPunct/>
        <w:topLinePunct w:val="0"/>
        <w:bidi w:val="0"/>
        <w:spacing w:line="400" w:lineRule="exact"/>
        <w:textAlignment w:val="auto"/>
        <w:rPr>
          <w:rFonts w:hint="default"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投标人主动放弃的情况说明（如有）:</w:t>
      </w:r>
      <w:r>
        <w:rPr>
          <w:rFonts w:hint="default" w:asciiTheme="minorEastAsia" w:hAnsiTheme="minorEastAsia" w:eastAsiaTheme="minorEastAsia" w:cstheme="minorEastAsia"/>
          <w:b w:val="0"/>
          <w:bCs w:val="0"/>
          <w:color w:val="auto"/>
          <w:sz w:val="21"/>
          <w:szCs w:val="21"/>
          <w:highlight w:val="none"/>
          <w:lang w:val="en-US" w:eastAsia="zh-CN"/>
        </w:rPr>
        <w:fldChar w:fldCharType="begin"/>
      </w:r>
      <w:r>
        <w:rPr>
          <w:rFonts w:hint="default" w:asciiTheme="minorEastAsia" w:hAnsiTheme="minorEastAsia" w:eastAsiaTheme="minorEastAsia" w:cstheme="minorEastAsia"/>
          <w:b w:val="0"/>
          <w:bCs w:val="0"/>
          <w:color w:val="auto"/>
          <w:sz w:val="21"/>
          <w:szCs w:val="21"/>
          <w:highlight w:val="none"/>
          <w:lang w:val="en-US" w:eastAsia="zh-CN"/>
        </w:rPr>
        <w:instrText xml:space="preserve"> HYPERLINK "mailto:应在投标截止时间前送达至招标人邮箱gwsxzb@163.com" </w:instrText>
      </w:r>
      <w:r>
        <w:rPr>
          <w:rFonts w:hint="default" w:asciiTheme="minorEastAsia" w:hAnsiTheme="minorEastAsia" w:eastAsiaTheme="minorEastAsia" w:cstheme="minorEastAsia"/>
          <w:b w:val="0"/>
          <w:bCs w:val="0"/>
          <w:color w:val="auto"/>
          <w:sz w:val="21"/>
          <w:szCs w:val="21"/>
          <w:highlight w:val="none"/>
          <w:lang w:val="en-US" w:eastAsia="zh-CN"/>
        </w:rPr>
        <w:fldChar w:fldCharType="separate"/>
      </w:r>
      <w:r>
        <w:rPr>
          <w:rFonts w:hint="default" w:asciiTheme="minorEastAsia" w:hAnsiTheme="minorEastAsia" w:eastAsiaTheme="minorEastAsia" w:cstheme="minorEastAsia"/>
          <w:b w:val="0"/>
          <w:bCs w:val="0"/>
          <w:color w:val="auto"/>
          <w:sz w:val="21"/>
          <w:szCs w:val="21"/>
          <w:highlight w:val="none"/>
          <w:lang w:val="en-US" w:eastAsia="zh-CN"/>
        </w:rPr>
        <w:t>应在</w:t>
      </w:r>
      <w:r>
        <w:rPr>
          <w:rFonts w:hint="eastAsia" w:asciiTheme="minorEastAsia" w:hAnsiTheme="minorEastAsia" w:eastAsiaTheme="minorEastAsia" w:cstheme="minorEastAsia"/>
          <w:b w:val="0"/>
          <w:bCs w:val="0"/>
          <w:color w:val="auto"/>
          <w:sz w:val="21"/>
          <w:szCs w:val="21"/>
          <w:highlight w:val="none"/>
          <w:lang w:val="en-US" w:eastAsia="zh-CN"/>
        </w:rPr>
        <w:t>投标文件递交截止时间前撤回电子商务平台及鈞巧系统相关投标文件。</w:t>
      </w:r>
      <w:r>
        <w:rPr>
          <w:rFonts w:hint="default" w:asciiTheme="minorEastAsia" w:hAnsiTheme="minorEastAsia" w:eastAsiaTheme="minorEastAsia" w:cstheme="minorEastAsia"/>
          <w:b w:val="0"/>
          <w:bCs w:val="0"/>
          <w:color w:val="auto"/>
          <w:sz w:val="21"/>
          <w:szCs w:val="21"/>
          <w:highlight w:val="none"/>
          <w:lang w:val="en-US" w:eastAsia="zh-CN"/>
        </w:rPr>
        <w:fldChar w:fldCharType="end"/>
      </w:r>
    </w:p>
    <w:p>
      <w:pPr>
        <w:keepNext w:val="0"/>
        <w:keepLines w:val="0"/>
        <w:pageBreakBefore w:val="0"/>
        <w:widowControl w:val="0"/>
        <w:tabs>
          <w:tab w:val="left" w:pos="620"/>
        </w:tabs>
        <w:kinsoku/>
        <w:wordWrap/>
        <w:overflowPunct/>
        <w:topLinePunct w:val="0"/>
        <w:bidi w:val="0"/>
        <w:spacing w:line="400" w:lineRule="exact"/>
        <w:ind w:firstLine="400"/>
        <w:textAlignment w:val="auto"/>
        <w:rPr>
          <w:rFonts w:hint="eastAsia" w:asciiTheme="minorEastAsia" w:hAnsiTheme="minorEastAsia" w:eastAsiaTheme="minorEastAsia" w:cstheme="minorEastAsia"/>
          <w:b w:val="0"/>
          <w:bCs/>
          <w:color w:val="auto"/>
          <w:sz w:val="21"/>
          <w:szCs w:val="21"/>
          <w:highlight w:val="none"/>
          <w:lang w:eastAsia="zh-CN" w:bidi="ar"/>
        </w:rPr>
      </w:pPr>
      <w:r>
        <w:rPr>
          <w:rFonts w:hint="eastAsia" w:asciiTheme="minorEastAsia" w:hAnsiTheme="minorEastAsia" w:eastAsiaTheme="minorEastAsia" w:cstheme="minorEastAsia"/>
          <w:b w:val="0"/>
          <w:bCs/>
          <w:color w:val="auto"/>
          <w:sz w:val="21"/>
          <w:szCs w:val="21"/>
          <w:highlight w:val="none"/>
          <w:lang w:val="en-US" w:eastAsia="zh-CN"/>
        </w:rPr>
        <w:t>特别提醒：由于网络带宽固定，资源有限，为避免在临近投标</w:t>
      </w:r>
      <w:r>
        <w:rPr>
          <w:rFonts w:hint="eastAsia" w:asciiTheme="minorEastAsia" w:hAnsiTheme="minorEastAsia" w:eastAsiaTheme="minorEastAsia" w:cstheme="minorEastAsia"/>
          <w:b w:val="0"/>
          <w:bCs/>
          <w:color w:val="auto"/>
          <w:sz w:val="21"/>
          <w:szCs w:val="21"/>
          <w:highlight w:val="none"/>
        </w:rPr>
        <w:t>文件递交截止时间</w:t>
      </w:r>
      <w:r>
        <w:rPr>
          <w:rFonts w:hint="eastAsia" w:asciiTheme="minorEastAsia" w:hAnsiTheme="minorEastAsia" w:eastAsiaTheme="minorEastAsia" w:cstheme="minorEastAsia"/>
          <w:b w:val="0"/>
          <w:bCs/>
          <w:color w:val="auto"/>
          <w:sz w:val="21"/>
          <w:szCs w:val="21"/>
          <w:highlight w:val="none"/>
          <w:lang w:val="en-US" w:eastAsia="zh-CN"/>
        </w:rPr>
        <w:t>集中上传文件造成的网络拥堵，影响投标文件上传递交，建议投标人合理安排上传时间，错峰完成投标文件上传。若服务器工作正常情况下，投标</w:t>
      </w:r>
      <w:r>
        <w:rPr>
          <w:rFonts w:hint="eastAsia" w:asciiTheme="minorEastAsia" w:hAnsiTheme="minorEastAsia" w:eastAsiaTheme="minorEastAsia" w:cstheme="minorEastAsia"/>
          <w:b w:val="0"/>
          <w:bCs/>
          <w:color w:val="auto"/>
          <w:sz w:val="21"/>
          <w:szCs w:val="21"/>
          <w:highlight w:val="none"/>
        </w:rPr>
        <w:t>文件递交截止</w:t>
      </w:r>
      <w:r>
        <w:rPr>
          <w:rFonts w:hint="eastAsia" w:asciiTheme="minorEastAsia" w:hAnsiTheme="minorEastAsia" w:eastAsiaTheme="minorEastAsia" w:cstheme="minorEastAsia"/>
          <w:b w:val="0"/>
          <w:bCs/>
          <w:color w:val="auto"/>
          <w:sz w:val="21"/>
          <w:szCs w:val="21"/>
          <w:highlight w:val="none"/>
          <w:lang w:val="en-US" w:eastAsia="zh-CN"/>
        </w:rPr>
        <w:t>时</w:t>
      </w:r>
      <w:r>
        <w:rPr>
          <w:rFonts w:hint="eastAsia" w:asciiTheme="minorEastAsia" w:hAnsiTheme="minorEastAsia" w:eastAsiaTheme="minorEastAsia" w:cstheme="minorEastAsia"/>
          <w:b w:val="0"/>
          <w:bCs/>
          <w:color w:val="auto"/>
          <w:sz w:val="21"/>
          <w:szCs w:val="21"/>
          <w:lang w:val="en-US" w:eastAsia="zh-CN"/>
        </w:rPr>
        <w:t>投标</w:t>
      </w:r>
      <w:r>
        <w:rPr>
          <w:rFonts w:hint="eastAsia" w:asciiTheme="minorEastAsia" w:hAnsiTheme="minorEastAsia" w:eastAsiaTheme="minorEastAsia" w:cstheme="minorEastAsia"/>
          <w:b w:val="0"/>
          <w:bCs/>
          <w:color w:val="auto"/>
          <w:sz w:val="21"/>
          <w:szCs w:val="21"/>
          <w:highlight w:val="none"/>
          <w:lang w:val="en-US" w:eastAsia="zh-CN"/>
        </w:rPr>
        <w:t>人未完成</w:t>
      </w:r>
      <w:r>
        <w:rPr>
          <w:rFonts w:hint="eastAsia" w:asciiTheme="minorEastAsia" w:hAnsiTheme="minorEastAsia" w:eastAsiaTheme="minorEastAsia" w:cstheme="minorEastAsia"/>
          <w:b w:val="0"/>
          <w:bCs/>
          <w:color w:val="auto"/>
          <w:sz w:val="21"/>
          <w:szCs w:val="21"/>
          <w:lang w:val="en-US" w:eastAsia="zh-CN"/>
        </w:rPr>
        <w:t>投标</w:t>
      </w:r>
      <w:r>
        <w:rPr>
          <w:rFonts w:hint="eastAsia" w:asciiTheme="minorEastAsia" w:hAnsiTheme="minorEastAsia" w:eastAsiaTheme="minorEastAsia" w:cstheme="minorEastAsia"/>
          <w:b w:val="0"/>
          <w:bCs/>
          <w:color w:val="auto"/>
          <w:sz w:val="21"/>
          <w:szCs w:val="21"/>
          <w:highlight w:val="none"/>
          <w:lang w:val="en-US" w:eastAsia="zh-CN"/>
        </w:rPr>
        <w:t>文件上传操作，</w:t>
      </w:r>
      <w:r>
        <w:rPr>
          <w:rFonts w:hint="eastAsia" w:asciiTheme="minorEastAsia" w:hAnsiTheme="minorEastAsia" w:eastAsiaTheme="minorEastAsia" w:cstheme="minorEastAsia"/>
          <w:b w:val="0"/>
          <w:bCs/>
          <w:color w:val="auto"/>
          <w:sz w:val="21"/>
          <w:szCs w:val="21"/>
          <w:highlight w:val="none"/>
          <w:lang w:bidi="ar"/>
        </w:rPr>
        <w:t>责任由</w:t>
      </w:r>
      <w:r>
        <w:rPr>
          <w:rFonts w:hint="eastAsia" w:asciiTheme="minorEastAsia" w:hAnsiTheme="minorEastAsia" w:eastAsiaTheme="minorEastAsia" w:cstheme="minorEastAsia"/>
          <w:b w:val="0"/>
          <w:bCs/>
          <w:color w:val="auto"/>
          <w:sz w:val="21"/>
          <w:szCs w:val="21"/>
          <w:highlight w:val="none"/>
          <w:lang w:val="en-US" w:eastAsia="zh-CN"/>
        </w:rPr>
        <w:t>投标</w:t>
      </w:r>
      <w:r>
        <w:rPr>
          <w:rFonts w:hint="eastAsia" w:asciiTheme="minorEastAsia" w:hAnsiTheme="minorEastAsia" w:eastAsiaTheme="minorEastAsia" w:cstheme="minorEastAsia"/>
          <w:b w:val="0"/>
          <w:bCs/>
          <w:color w:val="auto"/>
          <w:sz w:val="21"/>
          <w:szCs w:val="21"/>
          <w:highlight w:val="none"/>
          <w:lang w:eastAsia="zh-CN" w:bidi="ar"/>
        </w:rPr>
        <w:t>人</w:t>
      </w:r>
      <w:r>
        <w:rPr>
          <w:rFonts w:hint="eastAsia" w:asciiTheme="minorEastAsia" w:hAnsiTheme="minorEastAsia" w:eastAsiaTheme="minorEastAsia" w:cstheme="minorEastAsia"/>
          <w:b w:val="0"/>
          <w:bCs/>
          <w:color w:val="auto"/>
          <w:sz w:val="21"/>
          <w:szCs w:val="21"/>
          <w:highlight w:val="none"/>
          <w:lang w:bidi="ar"/>
        </w:rPr>
        <w:t>承担</w:t>
      </w:r>
      <w:r>
        <w:rPr>
          <w:rFonts w:hint="eastAsia" w:asciiTheme="minorEastAsia" w:hAnsiTheme="minorEastAsia" w:eastAsiaTheme="minorEastAsia" w:cstheme="minorEastAsia"/>
          <w:b w:val="0"/>
          <w:bCs/>
          <w:color w:val="auto"/>
          <w:sz w:val="21"/>
          <w:szCs w:val="21"/>
          <w:highlight w:val="none"/>
          <w:lang w:eastAsia="zh-CN" w:bidi="ar"/>
        </w:rPr>
        <w:t>。</w:t>
      </w:r>
    </w:p>
    <w:p>
      <w:pPr>
        <w:keepNext w:val="0"/>
        <w:keepLines w:val="0"/>
        <w:pageBreakBefore w:val="0"/>
        <w:shd w:val="clear"/>
        <w:tabs>
          <w:tab w:val="left" w:pos="1134"/>
        </w:tabs>
        <w:kinsoku/>
        <w:overflowPunct/>
        <w:topLinePunct w:val="0"/>
        <w:bidi w:val="0"/>
        <w:adjustRightInd w:val="0"/>
        <w:snapToGrid w:val="0"/>
        <w:spacing w:beforeLines="0" w:afterLines="0" w:line="400" w:lineRule="exact"/>
        <w:textAlignment w:val="auto"/>
        <w:rPr>
          <w:rFonts w:hint="eastAsia" w:asciiTheme="minorEastAsia" w:hAnsiTheme="minorEastAsia" w:eastAsiaTheme="minorEastAsia" w:cstheme="minorEastAsia"/>
          <w:b/>
          <w:bCs/>
          <w:color w:val="auto"/>
          <w:sz w:val="21"/>
          <w:szCs w:val="22"/>
          <w:highlight w:val="none"/>
          <w:lang w:val="en-US" w:eastAsia="zh-CN"/>
        </w:rPr>
      </w:pPr>
      <w:r>
        <w:rPr>
          <w:rFonts w:hint="eastAsia" w:asciiTheme="minorEastAsia" w:hAnsiTheme="minorEastAsia" w:eastAsiaTheme="minorEastAsia" w:cstheme="minorEastAsia"/>
          <w:b/>
          <w:bCs/>
          <w:color w:val="auto"/>
          <w:sz w:val="21"/>
          <w:szCs w:val="22"/>
          <w:highlight w:val="none"/>
          <w:lang w:val="en-US" w:eastAsia="zh-CN"/>
        </w:rPr>
        <w:t>3.开标时间及地点</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开标时间：同投标截止时间。</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开标地点：线上开标。</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本次开标采用网上直播方式进行，不再邀请投标人代表现场参加开标会议，开标现场由监督人员全过程监督并录制音视频。网上直播观看方式如下：</w:t>
      </w:r>
    </w:p>
    <w:p>
      <w:pPr>
        <w:pStyle w:val="5"/>
        <w:keepNext w:val="0"/>
        <w:keepLines w:val="0"/>
        <w:pageBreakBefore w:val="0"/>
        <w:kinsoku/>
        <w:overflowPunct/>
        <w:topLinePunct w:val="0"/>
        <w:bidi w:val="0"/>
        <w:spacing w:line="400" w:lineRule="exact"/>
        <w:textAlignment w:val="auto"/>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3.1</w:t>
      </w:r>
      <w:r>
        <w:rPr>
          <w:rFonts w:hint="eastAsia" w:ascii="宋体" w:hAnsi="宋体" w:eastAsia="宋体" w:cs="宋体"/>
          <w:color w:val="auto"/>
          <w:sz w:val="21"/>
          <w:szCs w:val="21"/>
          <w:lang w:val="en-US" w:eastAsia="zh-CN"/>
        </w:rPr>
        <w:t>投标人可</w:t>
      </w:r>
      <w:r>
        <w:rPr>
          <w:rFonts w:hint="eastAsia" w:ascii="宋体" w:hAnsi="宋体" w:cs="宋体"/>
          <w:color w:val="auto"/>
          <w:sz w:val="21"/>
          <w:szCs w:val="21"/>
          <w:lang w:val="en-US" w:eastAsia="zh-CN"/>
        </w:rPr>
        <w:t>登录</w:t>
      </w:r>
      <w:r>
        <w:rPr>
          <w:rFonts w:hint="eastAsia" w:asciiTheme="minorEastAsia" w:hAnsiTheme="minorEastAsia" w:eastAsiaTheme="minorEastAsia" w:cstheme="minorEastAsia"/>
          <w:b w:val="0"/>
          <w:bCs w:val="0"/>
          <w:color w:val="auto"/>
          <w:sz w:val="21"/>
          <w:szCs w:val="21"/>
          <w:highlight w:val="none"/>
          <w:lang w:val="en-US" w:eastAsia="zh-CN"/>
        </w:rPr>
        <w:t>国家电网电子商务平台，在“开标阶段”-“开标直播”中选择投标项目，按照【操作指南】完成i国网注册并下载i国网客户端，点击【前往观看】</w:t>
      </w:r>
      <w:r>
        <w:rPr>
          <w:rFonts w:hint="eastAsia" w:ascii="宋体" w:hAnsi="宋体" w:eastAsia="宋体" w:cs="宋体"/>
          <w:color w:val="auto"/>
          <w:sz w:val="21"/>
          <w:szCs w:val="21"/>
          <w:lang w:val="en-US" w:eastAsia="zh-CN"/>
        </w:rPr>
        <w:t>。</w:t>
      </w:r>
    </w:p>
    <w:p>
      <w:pPr>
        <w:pStyle w:val="5"/>
        <w:keepNext w:val="0"/>
        <w:keepLines w:val="0"/>
        <w:pageBreakBefore w:val="0"/>
        <w:kinsoku/>
        <w:overflowPunct/>
        <w:topLinePunct w:val="0"/>
        <w:bidi w:val="0"/>
        <w:spacing w:line="400" w:lineRule="exact"/>
        <w:textAlignment w:val="auto"/>
        <w:rPr>
          <w:b/>
          <w:color w:val="auto"/>
          <w:sz w:val="20"/>
          <w:szCs w:val="20"/>
          <w:highlight w:val="none"/>
        </w:rPr>
      </w:pPr>
      <w:r>
        <w:rPr>
          <w:rFonts w:hint="eastAsia" w:asciiTheme="minorEastAsia" w:hAnsiTheme="minorEastAsia" w:eastAsiaTheme="minorEastAsia" w:cstheme="minorEastAsia"/>
          <w:b w:val="0"/>
          <w:bCs w:val="0"/>
          <w:color w:val="auto"/>
          <w:sz w:val="21"/>
          <w:szCs w:val="21"/>
          <w:highlight w:val="none"/>
          <w:lang w:val="en-US" w:eastAsia="zh-CN"/>
        </w:rPr>
        <w:t>3.2投标人可登陆直播网址https://live.hst.com/BPbYo7dq8，或扫描下方二维码在线观看。</w:t>
      </w:r>
    </w:p>
    <w:p>
      <w:pPr>
        <w:ind w:firstLine="422"/>
        <w:jc w:val="center"/>
        <w:rPr>
          <w:b/>
          <w:color w:val="auto"/>
          <w:sz w:val="20"/>
          <w:szCs w:val="20"/>
          <w:highlight w:val="none"/>
        </w:rPr>
      </w:pPr>
      <w:r>
        <w:rPr>
          <w:rFonts w:hint="eastAsia"/>
          <w:b/>
          <w:color w:val="auto"/>
          <w:sz w:val="20"/>
          <w:szCs w:val="20"/>
          <w:highlight w:val="none"/>
        </w:rPr>
        <w:drawing>
          <wp:inline distT="0" distB="0" distL="114300" distR="114300">
            <wp:extent cx="95250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952500" cy="952500"/>
                    </a:xfrm>
                    <a:prstGeom prst="rect">
                      <a:avLst/>
                    </a:prstGeom>
                    <a:noFill/>
                    <a:ln>
                      <a:noFill/>
                    </a:ln>
                  </pic:spPr>
                </pic:pic>
              </a:graphicData>
            </a:graphic>
          </wp:inline>
        </w:drawing>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投标人在开标时间后，可登录国家电网电子商务平台查看及确认开标结果，投标人对开标过程或其电子报价有异议的，可在开标直播间实时留言，或采用电子邮件方式向招标代理机构提出，开标异议受理单格式详见招标文件，邮箱地址：</w:t>
      </w:r>
      <w:r>
        <w:rPr>
          <w:rFonts w:hint="eastAsia" w:asciiTheme="minorEastAsia" w:hAnsiTheme="minorEastAsia" w:eastAsiaTheme="minorEastAsia" w:cstheme="minorEastAsia"/>
          <w:b w:val="0"/>
          <w:bCs w:val="0"/>
          <w:color w:val="auto"/>
          <w:sz w:val="21"/>
          <w:szCs w:val="21"/>
          <w:highlight w:val="none"/>
          <w:lang w:val="en-US" w:eastAsia="zh-CN"/>
        </w:rPr>
        <w:fldChar w:fldCharType="begin"/>
      </w:r>
      <w:r>
        <w:rPr>
          <w:rFonts w:hint="eastAsia" w:asciiTheme="minorEastAsia" w:hAnsiTheme="minorEastAsia" w:eastAsiaTheme="minorEastAsia" w:cstheme="minorEastAsia"/>
          <w:b w:val="0"/>
          <w:bCs w:val="0"/>
          <w:color w:val="auto"/>
          <w:sz w:val="21"/>
          <w:szCs w:val="21"/>
          <w:highlight w:val="none"/>
          <w:lang w:val="en-US" w:eastAsia="zh-CN"/>
        </w:rPr>
        <w:instrText xml:space="preserve"> HYPERLINK "mailto:diannengwuzi@126.com。" </w:instrText>
      </w:r>
      <w:r>
        <w:rPr>
          <w:rFonts w:hint="eastAsia" w:asciiTheme="minorEastAsia" w:hAnsiTheme="minorEastAsia" w:eastAsiaTheme="minorEastAsia" w:cstheme="minorEastAsia"/>
          <w:b w:val="0"/>
          <w:bCs w:val="0"/>
          <w:color w:val="auto"/>
          <w:sz w:val="21"/>
          <w:szCs w:val="21"/>
          <w:highlight w:val="none"/>
          <w:lang w:val="en-US" w:eastAsia="zh-CN"/>
        </w:rPr>
        <w:fldChar w:fldCharType="separate"/>
      </w:r>
      <w:r>
        <w:rPr>
          <w:rFonts w:hint="eastAsia" w:asciiTheme="minorEastAsia" w:hAnsiTheme="minorEastAsia" w:eastAsiaTheme="minorEastAsia" w:cstheme="minorEastAsia"/>
          <w:b w:val="0"/>
          <w:bCs w:val="0"/>
          <w:color w:val="auto"/>
          <w:sz w:val="21"/>
          <w:szCs w:val="21"/>
          <w:highlight w:val="yellow"/>
          <w:lang w:val="en-US" w:eastAsia="zh-CN"/>
        </w:rPr>
        <w:t>xibeidianneng@126.com</w:t>
      </w:r>
      <w:r>
        <w:rPr>
          <w:rFonts w:hint="eastAsia" w:asciiTheme="minorEastAsia" w:hAnsiTheme="minorEastAsia" w:eastAsiaTheme="minorEastAsia" w:cstheme="minorEastAsia"/>
          <w:b w:val="0"/>
          <w:bCs w:val="0"/>
          <w:color w:val="auto"/>
          <w:sz w:val="21"/>
          <w:szCs w:val="21"/>
          <w:highlight w:val="none"/>
          <w:lang w:val="en-US" w:eastAsia="zh-CN"/>
        </w:rPr>
        <w:t>。</w:t>
      </w:r>
      <w:r>
        <w:rPr>
          <w:rFonts w:hint="eastAsia" w:asciiTheme="minorEastAsia" w:hAnsiTheme="minorEastAsia" w:eastAsiaTheme="minorEastAsia" w:cstheme="minorEastAsia"/>
          <w:b w:val="0"/>
          <w:bCs w:val="0"/>
          <w:color w:val="auto"/>
          <w:sz w:val="21"/>
          <w:szCs w:val="21"/>
          <w:highlight w:val="none"/>
          <w:lang w:val="en-US" w:eastAsia="zh-CN"/>
        </w:rPr>
        <w:fldChar w:fldCharType="end"/>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0" w:firstLineChars="0"/>
        <w:textAlignment w:val="auto"/>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4.中标服务费汇款要求</w:t>
      </w:r>
    </w:p>
    <w:p>
      <w:pPr>
        <w:keepNext w:val="0"/>
        <w:keepLines w:val="0"/>
        <w:pageBreakBefore w:val="0"/>
        <w:widowControl w:val="0"/>
        <w:tabs>
          <w:tab w:val="left" w:pos="620"/>
        </w:tabs>
        <w:kinsoku/>
        <w:wordWrap/>
        <w:overflowPunct/>
        <w:topLinePunct w:val="0"/>
        <w:autoSpaceDE/>
        <w:autoSpaceDN/>
        <w:bidi w:val="0"/>
        <w:spacing w:line="400" w:lineRule="exact"/>
        <w:ind w:firstLine="400"/>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中标服务费的汇款信息及要求将在中标公告中予以说明。</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0" w:firstLineChars="0"/>
        <w:textAlignment w:val="auto"/>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5.发票领取</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中标人自中标公告发布之日起七个工作日后登录鈞巧系统（http://202.100.20.94）—“中标服务费发票下载”处下载中标服务费电子发票，不再提供纸质发票。</w:t>
      </w:r>
    </w:p>
    <w:p>
      <w:pPr>
        <w:keepNext w:val="0"/>
        <w:keepLines w:val="0"/>
        <w:pageBreakBefore w:val="0"/>
        <w:widowControl w:val="0"/>
        <w:tabs>
          <w:tab w:val="left" w:pos="1134"/>
        </w:tabs>
        <w:kinsoku/>
        <w:wordWrap/>
        <w:overflowPunct/>
        <w:topLinePunct w:val="0"/>
        <w:autoSpaceDE/>
        <w:autoSpaceDN/>
        <w:bidi w:val="0"/>
        <w:adjustRightInd w:val="0"/>
        <w:snapToGrid w:val="0"/>
        <w:spacing w:line="400" w:lineRule="exact"/>
        <w:ind w:firstLine="0" w:firstLineChars="0"/>
        <w:textAlignment w:val="auto"/>
        <w:rPr>
          <w:rFonts w:hint="eastAsia" w:asciiTheme="minorEastAsia" w:hAnsiTheme="minorEastAsia" w:eastAsiaTheme="minorEastAsia" w:cstheme="minorEastAsia"/>
          <w:b/>
          <w:bCs/>
          <w:color w:val="auto"/>
          <w:lang w:val="en-US" w:eastAsia="zh-CN"/>
        </w:rPr>
      </w:pPr>
      <w:r>
        <w:rPr>
          <w:rFonts w:hint="eastAsia" w:asciiTheme="minorEastAsia" w:hAnsiTheme="minorEastAsia" w:eastAsiaTheme="minorEastAsia" w:cstheme="minorEastAsia"/>
          <w:b/>
          <w:bCs/>
          <w:color w:val="auto"/>
          <w:lang w:val="en-US" w:eastAsia="zh-CN"/>
        </w:rPr>
        <w:t>6.特别提醒事项</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en-US" w:eastAsia="zh-CN"/>
        </w:rPr>
      </w:pPr>
      <w:r>
        <w:rPr>
          <w:rFonts w:hint="eastAsia" w:asciiTheme="minorEastAsia" w:hAnsiTheme="minorEastAsia" w:eastAsiaTheme="minorEastAsia" w:cstheme="minorEastAsia"/>
          <w:b w:val="0"/>
          <w:bCs w:val="0"/>
          <w:color w:val="auto"/>
          <w:sz w:val="21"/>
          <w:szCs w:val="21"/>
          <w:highlight w:val="none"/>
          <w:lang w:val="en-US" w:eastAsia="zh-CN"/>
        </w:rPr>
        <w:t>关于投标文件无法读取的提示：上传投标文件前，须确认该文件内容可读，对于不可读取的文件将不作评审。（若同一投标文件在随机选取的不少于三台电脑上均无法打开，则视为其投标文件不可读取）。</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彩色二值双层PDF释义</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双层PDF是指第一层是图片，第二层是文字，且图片和文字是上下对齐的，看到图片上的文字可以复制到剪贴板里，从而粘贴到其他文字编辑软件里使用（如WORD、WPS等）。</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双层PDF格式文件是一种具有多层结构的PDF格式文件，是PDF文件衍生的一种文件，其特点是：文件既可以是文本型的（比如由word生成的文件），也可以是图像型的（比如由扫描生成的文件）；双层PDF格式文件是指文件内容既包含文本层，也包含图像层，且其位置上下一一相对应。双层PDF是指将标准资料通过扫描仪快速录入后，经过去污、纠偏和OCR识别，然后可以直接生成可以检索的PDF文件，这个PDF文件是双层的，上层是原始图像，下层是识别结果，这样可以100%保留原始版面效果，并且支持选择/复制/检索等功能，这样的PDF文件便于建立索引数据库，进行科学的管理。</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双层PDF格式文件一般有两种格式的，一、图像型的，可以通过OCR软件经过去污、纠偏和OCR识别，然后再通过制作双层PDF软件直接生成可以检索的双层PDF文件；二、文本型的，最常见的WORD转双层PDF文件，先将WORD文件转成单层的PDF文件，再将单层的PDF文件转成图像文件，然后通过OCR软件OCR识别，然后再通过制作双层PDF软件直接生成可以检索的双层PDF文件。</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投标文件编制格式及规范</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1.电子版投标文件格式必须为彩色二值双层PDF，从封面起逐页连续编写页码，起始页码为：“1”，其中如果有各种证书、影印件、图纸等资料扫描文件也必须连续编写页码。</w:t>
      </w:r>
    </w:p>
    <w:p>
      <w:pPr>
        <w:pStyle w:val="5"/>
        <w:keepNext w:val="0"/>
        <w:keepLines w:val="0"/>
        <w:pageBreakBefore w:val="0"/>
        <w:kinsoku/>
        <w:overflowPunct/>
        <w:topLinePunct w:val="0"/>
        <w:bidi w:val="0"/>
        <w:spacing w:line="400" w:lineRule="exact"/>
        <w:textAlignment w:val="auto"/>
        <w:rPr>
          <w:rFonts w:hint="eastAsia" w:asciiTheme="minorEastAsia" w:hAnsiTheme="minorEastAsia" w:eastAsiaTheme="minorEastAsia" w:cstheme="minorEastAsia"/>
          <w:b w:val="0"/>
          <w:bCs w:val="0"/>
          <w:color w:val="auto"/>
          <w:sz w:val="21"/>
          <w:szCs w:val="21"/>
          <w:highlight w:val="none"/>
          <w:lang w:val="zh-CN" w:eastAsia="zh-CN"/>
        </w:rPr>
      </w:pPr>
      <w:r>
        <w:rPr>
          <w:rFonts w:hint="eastAsia" w:asciiTheme="minorEastAsia" w:hAnsiTheme="minorEastAsia" w:eastAsiaTheme="minorEastAsia" w:cstheme="minorEastAsia"/>
          <w:b w:val="0"/>
          <w:bCs w:val="0"/>
          <w:color w:val="auto"/>
          <w:sz w:val="21"/>
          <w:szCs w:val="21"/>
          <w:highlight w:val="none"/>
          <w:lang w:val="zh-CN" w:eastAsia="zh-CN"/>
        </w:rPr>
        <w:t>2.扫描后的图片文件页面应清晰（各类证书影印件、图纸等资料），页面中的杂点、黑边等需清除。文件的图像偏斜角度应小于1度，图像偏斜不超过页面内半个文字。</w:t>
      </w:r>
    </w:p>
    <w:sectPr>
      <w:headerReference r:id="rId5" w:type="default"/>
      <w:footerReference r:id="rId6" w:type="default"/>
      <w:footnotePr>
        <w:pos w:val="beneathText"/>
      </w:footnotePr>
      <w:pgSz w:w="11907" w:h="16840"/>
      <w:pgMar w:top="1440" w:right="1800" w:bottom="1440" w:left="1800" w:header="851" w:footer="851" w:gutter="0"/>
      <w:cols w:space="720" w:num="1"/>
      <w:titlePg/>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enter" w:pos="6979"/>
        <w:tab w:val="clear" w:pos="8306"/>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8420" cy="139700"/>
                      </a:xfrm>
                      <a:prstGeom prst="rect">
                        <a:avLst/>
                      </a:prstGeom>
                      <a:noFill/>
                      <a:ln>
                        <a:noFill/>
                      </a:ln>
                      <a:effectLst/>
                    </wps:spPr>
                    <wps:txbx>
                      <w:txbxContent>
                        <w:p>
                          <w:pPr>
                            <w:pStyle w:val="10"/>
                          </w:pPr>
                          <w:r>
                            <w:fldChar w:fldCharType="begin"/>
                          </w:r>
                          <w:r>
                            <w:instrText xml:space="preserve"> PAGE  \* MERGEFORMAT </w:instrText>
                          </w:r>
                          <w:r>
                            <w:fldChar w:fldCharType="separate"/>
                          </w:r>
                          <w:r>
                            <w:t>72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tbuXfQAAAAAgEAAA8AAAAAAAAAAQAgAAAAIgAAAGRycy9k&#10;b3ducmV2LnhtbFBLAQIUABQAAAAIAIdO4kAVqN4f0QEAAKQDAAAOAAAAAAAAAAEAIAAAAB8BAABk&#10;cnMvZTJvRG9jLnhtbFBLBQYAAAAABgAGAFkBAABiBQAAAAA=&#10;">
              <v:fill on="f" focussize="0,0"/>
              <v:stroke on="f"/>
              <v:imagedata o:title=""/>
              <o:lock v:ext="edit" aspectratio="f"/>
              <v:textbox inset="0mm,0mm,0mm,0mm" style="mso-fit-shape-to-text:t;">
                <w:txbxContent>
                  <w:p>
                    <w:pPr>
                      <w:pStyle w:val="10"/>
                    </w:pPr>
                    <w:r>
                      <w:fldChar w:fldCharType="begin"/>
                    </w:r>
                    <w:r>
                      <w:instrText xml:space="preserve"> PAGE  \* MERGEFORMAT </w:instrText>
                    </w:r>
                    <w:r>
                      <w:fldChar w:fldCharType="separate"/>
                    </w:r>
                    <w:r>
                      <w:t>72</w:t>
                    </w:r>
                    <w:r>
                      <w:fldChar w:fldCharType="end"/>
                    </w:r>
                  </w:p>
                </w:txbxContent>
              </v:textbox>
            </v:shape>
          </w:pict>
        </mc:Fallback>
      </mc:AlternateContent>
    </w:r>
    <w:r>
      <w:tab/>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jc w:val="center"/>
    </w:pPr>
    <w:r>
      <w:fldChar w:fldCharType="begin"/>
    </w:r>
    <w:r>
      <w:instrText xml:space="preserve"> PAGE   \* MERGEFORMAT </w:instrText>
    </w:r>
    <w:r>
      <w:fldChar w:fldCharType="separate"/>
    </w:r>
    <w:r>
      <w:t>97</w:t>
    </w:r>
    <w:r>
      <w:fldChar w:fldCharType="end"/>
    </w:r>
  </w:p>
  <w:p>
    <w:pPr>
      <w:pStyle w:val="2"/>
      <w:spacing w:line="14" w:lineRule="auto"/>
      <w:ind w:firstLine="240"/>
      <w:rPr>
        <w:sz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210"/>
  <w:drawingGridVerticalSpacing w:val="159"/>
  <w:displayHorizontalDrawingGridEvery w:val="1"/>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MyNjAxOTI3NGRiYTg2OGUxZWU3ZmNiMzlmOTJmNGIifQ=="/>
  </w:docVars>
  <w:rsids>
    <w:rsidRoot w:val="00000000"/>
    <w:rsid w:val="002766DD"/>
    <w:rsid w:val="00937981"/>
    <w:rsid w:val="00CA050E"/>
    <w:rsid w:val="011D6E3C"/>
    <w:rsid w:val="011F03E0"/>
    <w:rsid w:val="013B4944"/>
    <w:rsid w:val="01D029AF"/>
    <w:rsid w:val="022A50B6"/>
    <w:rsid w:val="029C1F55"/>
    <w:rsid w:val="03E959C4"/>
    <w:rsid w:val="04CB78DE"/>
    <w:rsid w:val="05080FE1"/>
    <w:rsid w:val="050C12CC"/>
    <w:rsid w:val="075E0C24"/>
    <w:rsid w:val="08314C1A"/>
    <w:rsid w:val="08801CB3"/>
    <w:rsid w:val="08AA4C4F"/>
    <w:rsid w:val="09990D88"/>
    <w:rsid w:val="0A0A2C0E"/>
    <w:rsid w:val="0B1A1654"/>
    <w:rsid w:val="0B266665"/>
    <w:rsid w:val="0C862DAF"/>
    <w:rsid w:val="0D31309F"/>
    <w:rsid w:val="0DFA0944"/>
    <w:rsid w:val="0DFC545B"/>
    <w:rsid w:val="0EE85502"/>
    <w:rsid w:val="0F87121F"/>
    <w:rsid w:val="0FD07BFD"/>
    <w:rsid w:val="10303AE3"/>
    <w:rsid w:val="10C23712"/>
    <w:rsid w:val="112F798B"/>
    <w:rsid w:val="11770848"/>
    <w:rsid w:val="137D2B9A"/>
    <w:rsid w:val="13802355"/>
    <w:rsid w:val="15205076"/>
    <w:rsid w:val="155768B2"/>
    <w:rsid w:val="16F643D6"/>
    <w:rsid w:val="17A50911"/>
    <w:rsid w:val="17D67C9F"/>
    <w:rsid w:val="181C5611"/>
    <w:rsid w:val="18636D79"/>
    <w:rsid w:val="186C142F"/>
    <w:rsid w:val="190E2F28"/>
    <w:rsid w:val="195A0C76"/>
    <w:rsid w:val="19DE008F"/>
    <w:rsid w:val="1A284A47"/>
    <w:rsid w:val="1A625358"/>
    <w:rsid w:val="1B0E2C71"/>
    <w:rsid w:val="1BE64501"/>
    <w:rsid w:val="1C7232DE"/>
    <w:rsid w:val="1C8F3C79"/>
    <w:rsid w:val="1CCA3FD1"/>
    <w:rsid w:val="1DAC73DB"/>
    <w:rsid w:val="1E9F430C"/>
    <w:rsid w:val="1EA65D35"/>
    <w:rsid w:val="1EC14F73"/>
    <w:rsid w:val="1F4759EA"/>
    <w:rsid w:val="1F85034A"/>
    <w:rsid w:val="1F985B0B"/>
    <w:rsid w:val="1FCC0FC7"/>
    <w:rsid w:val="20665273"/>
    <w:rsid w:val="207417C9"/>
    <w:rsid w:val="20B17CF2"/>
    <w:rsid w:val="20DD5410"/>
    <w:rsid w:val="20E325CD"/>
    <w:rsid w:val="2117648F"/>
    <w:rsid w:val="21C63834"/>
    <w:rsid w:val="21F140D3"/>
    <w:rsid w:val="230B3606"/>
    <w:rsid w:val="23550303"/>
    <w:rsid w:val="23883183"/>
    <w:rsid w:val="24E26372"/>
    <w:rsid w:val="24F1163A"/>
    <w:rsid w:val="259D71B4"/>
    <w:rsid w:val="25E92311"/>
    <w:rsid w:val="261B5931"/>
    <w:rsid w:val="27B14CAF"/>
    <w:rsid w:val="2862298E"/>
    <w:rsid w:val="286A7345"/>
    <w:rsid w:val="287311B0"/>
    <w:rsid w:val="28771630"/>
    <w:rsid w:val="29A529F3"/>
    <w:rsid w:val="2A0B20FC"/>
    <w:rsid w:val="2B6E32AC"/>
    <w:rsid w:val="2C36068A"/>
    <w:rsid w:val="2C622E1D"/>
    <w:rsid w:val="2CDE042F"/>
    <w:rsid w:val="2CF15AA0"/>
    <w:rsid w:val="2CFC4781"/>
    <w:rsid w:val="2D151964"/>
    <w:rsid w:val="2D5F422A"/>
    <w:rsid w:val="2D666998"/>
    <w:rsid w:val="2DB07F59"/>
    <w:rsid w:val="2DD13DB6"/>
    <w:rsid w:val="2E1661E6"/>
    <w:rsid w:val="2E8D3C53"/>
    <w:rsid w:val="2EDA3717"/>
    <w:rsid w:val="2F0A4DFC"/>
    <w:rsid w:val="2F21715F"/>
    <w:rsid w:val="2FA07EE4"/>
    <w:rsid w:val="3150593A"/>
    <w:rsid w:val="31B02507"/>
    <w:rsid w:val="320B52D0"/>
    <w:rsid w:val="326A0E38"/>
    <w:rsid w:val="329130F0"/>
    <w:rsid w:val="32E51D36"/>
    <w:rsid w:val="344374B7"/>
    <w:rsid w:val="347846C8"/>
    <w:rsid w:val="35290B4B"/>
    <w:rsid w:val="35BA56C4"/>
    <w:rsid w:val="360D7B3A"/>
    <w:rsid w:val="36BF1C54"/>
    <w:rsid w:val="374E2B08"/>
    <w:rsid w:val="375C5B92"/>
    <w:rsid w:val="3A1357E4"/>
    <w:rsid w:val="3A1C285D"/>
    <w:rsid w:val="3A612966"/>
    <w:rsid w:val="3A8B12E4"/>
    <w:rsid w:val="3AC55E22"/>
    <w:rsid w:val="3C717350"/>
    <w:rsid w:val="3D567144"/>
    <w:rsid w:val="3D6725E6"/>
    <w:rsid w:val="3D6A7D83"/>
    <w:rsid w:val="3F7D6A3B"/>
    <w:rsid w:val="40337D20"/>
    <w:rsid w:val="41685626"/>
    <w:rsid w:val="4174319E"/>
    <w:rsid w:val="41DD4469"/>
    <w:rsid w:val="425228BE"/>
    <w:rsid w:val="42E83C24"/>
    <w:rsid w:val="430D4EB1"/>
    <w:rsid w:val="4382295B"/>
    <w:rsid w:val="44477EB5"/>
    <w:rsid w:val="44644096"/>
    <w:rsid w:val="44670B79"/>
    <w:rsid w:val="45927E77"/>
    <w:rsid w:val="465C2C4D"/>
    <w:rsid w:val="46BB09F6"/>
    <w:rsid w:val="48A36AF2"/>
    <w:rsid w:val="4A2A5A78"/>
    <w:rsid w:val="4A6C2825"/>
    <w:rsid w:val="4A8E3303"/>
    <w:rsid w:val="4AEE5B50"/>
    <w:rsid w:val="4C2F2FF2"/>
    <w:rsid w:val="4CCA6900"/>
    <w:rsid w:val="4D476D98"/>
    <w:rsid w:val="4DC43B24"/>
    <w:rsid w:val="4E2C115B"/>
    <w:rsid w:val="4E7B6D7B"/>
    <w:rsid w:val="4EC81BE7"/>
    <w:rsid w:val="4EDD0C59"/>
    <w:rsid w:val="51A02811"/>
    <w:rsid w:val="51E14127"/>
    <w:rsid w:val="522606D5"/>
    <w:rsid w:val="5234518C"/>
    <w:rsid w:val="52447E05"/>
    <w:rsid w:val="52D53A65"/>
    <w:rsid w:val="5302488E"/>
    <w:rsid w:val="530B1DCC"/>
    <w:rsid w:val="535F046D"/>
    <w:rsid w:val="539E77EA"/>
    <w:rsid w:val="53B635B3"/>
    <w:rsid w:val="53B86CFB"/>
    <w:rsid w:val="53F27056"/>
    <w:rsid w:val="54091B14"/>
    <w:rsid w:val="54C11143"/>
    <w:rsid w:val="54E3424B"/>
    <w:rsid w:val="55BF1FC7"/>
    <w:rsid w:val="55F93865"/>
    <w:rsid w:val="561E6480"/>
    <w:rsid w:val="573C0474"/>
    <w:rsid w:val="581B642B"/>
    <w:rsid w:val="5A427701"/>
    <w:rsid w:val="5AD1633C"/>
    <w:rsid w:val="5AF771DE"/>
    <w:rsid w:val="5B111B96"/>
    <w:rsid w:val="5BBD2610"/>
    <w:rsid w:val="5C433822"/>
    <w:rsid w:val="5C7E528D"/>
    <w:rsid w:val="5CA8482B"/>
    <w:rsid w:val="5D5F6439"/>
    <w:rsid w:val="5DDB767D"/>
    <w:rsid w:val="5E0C587E"/>
    <w:rsid w:val="5E1379DA"/>
    <w:rsid w:val="5E417DB0"/>
    <w:rsid w:val="5E624DB0"/>
    <w:rsid w:val="5EF9595D"/>
    <w:rsid w:val="5F8B1766"/>
    <w:rsid w:val="5F9C3A55"/>
    <w:rsid w:val="5FC105F2"/>
    <w:rsid w:val="5FE33066"/>
    <w:rsid w:val="61354081"/>
    <w:rsid w:val="616B17E5"/>
    <w:rsid w:val="62074A71"/>
    <w:rsid w:val="62176C35"/>
    <w:rsid w:val="62310122"/>
    <w:rsid w:val="62A25478"/>
    <w:rsid w:val="635950F4"/>
    <w:rsid w:val="63F43D7F"/>
    <w:rsid w:val="64654C6F"/>
    <w:rsid w:val="648A5F58"/>
    <w:rsid w:val="64974C7D"/>
    <w:rsid w:val="64F434A4"/>
    <w:rsid w:val="65445F17"/>
    <w:rsid w:val="6554235D"/>
    <w:rsid w:val="660F2BB5"/>
    <w:rsid w:val="675B0437"/>
    <w:rsid w:val="676A6B3B"/>
    <w:rsid w:val="687A05CB"/>
    <w:rsid w:val="699102C2"/>
    <w:rsid w:val="6A1B0EF5"/>
    <w:rsid w:val="6AA67D9D"/>
    <w:rsid w:val="6B8B45D6"/>
    <w:rsid w:val="6B982887"/>
    <w:rsid w:val="6CA4287F"/>
    <w:rsid w:val="6CCF2537"/>
    <w:rsid w:val="6D8F47EA"/>
    <w:rsid w:val="6DB74CDB"/>
    <w:rsid w:val="6E0E0133"/>
    <w:rsid w:val="6E5A0455"/>
    <w:rsid w:val="6E6933A5"/>
    <w:rsid w:val="6EE22BBE"/>
    <w:rsid w:val="6EF60F2B"/>
    <w:rsid w:val="700F7B60"/>
    <w:rsid w:val="70AE18C9"/>
    <w:rsid w:val="72122B78"/>
    <w:rsid w:val="7224171E"/>
    <w:rsid w:val="731229AA"/>
    <w:rsid w:val="736545D3"/>
    <w:rsid w:val="73EA2AA9"/>
    <w:rsid w:val="73F25E01"/>
    <w:rsid w:val="747A657C"/>
    <w:rsid w:val="74BC08A1"/>
    <w:rsid w:val="761F533D"/>
    <w:rsid w:val="764741E2"/>
    <w:rsid w:val="77E548C5"/>
    <w:rsid w:val="786D646D"/>
    <w:rsid w:val="7972443D"/>
    <w:rsid w:val="7A364F32"/>
    <w:rsid w:val="7B8B2782"/>
    <w:rsid w:val="7BE456C2"/>
    <w:rsid w:val="7CE502B1"/>
    <w:rsid w:val="7D4F72D8"/>
    <w:rsid w:val="7D513B99"/>
    <w:rsid w:val="7DFA6F07"/>
    <w:rsid w:val="7E12535A"/>
    <w:rsid w:val="7ECE6E4E"/>
    <w:rsid w:val="7F7E86C3"/>
    <w:rsid w:val="D7FF823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uiPriority w:val="0"/>
    <w:pPr>
      <w:autoSpaceDE w:val="0"/>
      <w:autoSpaceDN w:val="0"/>
      <w:ind w:left="641" w:hanging="401"/>
      <w:jc w:val="left"/>
      <w:outlineLvl w:val="1"/>
    </w:pPr>
    <w:rPr>
      <w:rFonts w:ascii="Microsoft JhengHei" w:hAnsi="Microsoft JhengHei" w:eastAsia="Microsoft JhengHei"/>
      <w:b/>
      <w:bCs/>
      <w:kern w:val="0"/>
      <w:sz w:val="32"/>
      <w:szCs w:val="32"/>
      <w:lang w:val="zh-CN"/>
    </w:rPr>
  </w:style>
  <w:style w:type="paragraph" w:styleId="4">
    <w:name w:val="heading 3"/>
    <w:basedOn w:val="1"/>
    <w:next w:val="1"/>
    <w:qFormat/>
    <w:uiPriority w:val="0"/>
    <w:pPr>
      <w:autoSpaceDE w:val="0"/>
      <w:autoSpaceDN w:val="0"/>
      <w:ind w:left="866" w:hanging="489"/>
      <w:jc w:val="left"/>
      <w:outlineLvl w:val="2"/>
    </w:pPr>
    <w:rPr>
      <w:rFonts w:ascii="宋体" w:hAnsi="宋体"/>
      <w:kern w:val="0"/>
      <w:sz w:val="28"/>
      <w:szCs w:val="28"/>
      <w:lang w:val="zh-CN"/>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autoSpaceDE w:val="0"/>
      <w:autoSpaceDN w:val="0"/>
      <w:jc w:val="left"/>
    </w:pPr>
    <w:rPr>
      <w:rFonts w:ascii="宋体" w:hAnsi="宋体" w:cs="宋体"/>
      <w:kern w:val="0"/>
      <w:szCs w:val="21"/>
      <w:lang w:val="zh-CN" w:bidi="zh-CN"/>
    </w:rPr>
  </w:style>
  <w:style w:type="paragraph" w:styleId="5">
    <w:name w:val="Normal Indent"/>
    <w:basedOn w:val="1"/>
    <w:next w:val="2"/>
    <w:qFormat/>
    <w:uiPriority w:val="0"/>
    <w:pPr>
      <w:ind w:firstLine="420"/>
    </w:pPr>
    <w:rPr>
      <w:rFonts w:ascii="Times New Roman" w:hAnsi="Times New Roman"/>
      <w:szCs w:val="24"/>
    </w:rPr>
  </w:style>
  <w:style w:type="paragraph" w:styleId="6">
    <w:name w:val="Document Map"/>
    <w:basedOn w:val="1"/>
    <w:qFormat/>
    <w:uiPriority w:val="0"/>
    <w:rPr>
      <w:rFonts w:hint="eastAsia" w:ascii="宋体"/>
      <w:sz w:val="18"/>
    </w:rPr>
  </w:style>
  <w:style w:type="paragraph" w:styleId="7">
    <w:name w:val="annotation text"/>
    <w:basedOn w:val="1"/>
    <w:qFormat/>
    <w:uiPriority w:val="0"/>
    <w:pPr>
      <w:jc w:val="left"/>
    </w:pPr>
  </w:style>
  <w:style w:type="paragraph" w:styleId="8">
    <w:name w:val="Body Text Indent"/>
    <w:basedOn w:val="1"/>
    <w:unhideWhenUsed/>
    <w:qFormat/>
    <w:uiPriority w:val="0"/>
    <w:pPr>
      <w:spacing w:after="120"/>
      <w:ind w:left="420" w:leftChars="200"/>
    </w:pPr>
  </w:style>
  <w:style w:type="paragraph" w:styleId="9">
    <w:name w:val="Plain Text"/>
    <w:basedOn w:val="1"/>
    <w:qFormat/>
    <w:uiPriority w:val="0"/>
    <w:rPr>
      <w:rFonts w:ascii="宋体" w:hAnsi="Courier New" w:cs="Courier New"/>
      <w:szCs w:val="21"/>
    </w:r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4">
    <w:name w:val="Body Text First Indent 2"/>
    <w:basedOn w:val="8"/>
    <w:next w:val="15"/>
    <w:qFormat/>
    <w:uiPriority w:val="0"/>
    <w:pPr>
      <w:ind w:leftChars="0" w:firstLine="420"/>
    </w:pPr>
    <w:rPr>
      <w:sz w:val="22"/>
    </w:rPr>
  </w:style>
  <w:style w:type="paragraph" w:customStyle="1" w:styleId="15">
    <w:name w:val="表格文字"/>
    <w:basedOn w:val="12"/>
    <w:next w:val="1"/>
    <w:qFormat/>
    <w:uiPriority w:val="0"/>
    <w:pPr>
      <w:ind w:firstLine="0" w:firstLineChars="0"/>
      <w:jc w:val="center"/>
    </w:pPr>
    <w:rPr>
      <w:szCs w:val="2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正文文本2"/>
    <w:basedOn w:val="1"/>
    <w:qFormat/>
    <w:uiPriority w:val="0"/>
    <w:pPr>
      <w:autoSpaceDE w:val="0"/>
      <w:autoSpaceDN w:val="0"/>
      <w:jc w:val="left"/>
    </w:pPr>
    <w:rPr>
      <w:rFonts w:ascii="宋体" w:hAnsi="宋体"/>
      <w:kern w:val="0"/>
      <w:sz w:val="20"/>
      <w:szCs w:val="21"/>
      <w:lang w:val="zh-CN"/>
    </w:rPr>
  </w:style>
  <w:style w:type="paragraph" w:customStyle="1" w:styleId="20">
    <w:name w:val="列出段落7"/>
    <w:basedOn w:val="1"/>
    <w:qFormat/>
    <w:uiPriority w:val="0"/>
    <w:pPr>
      <w:ind w:left="400" w:firstLine="420"/>
    </w:pPr>
  </w:style>
  <w:style w:type="paragraph" w:customStyle="1" w:styleId="21">
    <w:name w:val="样式8"/>
    <w:basedOn w:val="22"/>
    <w:qFormat/>
    <w:uiPriority w:val="1"/>
  </w:style>
  <w:style w:type="paragraph" w:customStyle="1" w:styleId="22">
    <w:name w:val="一级标题"/>
    <w:basedOn w:val="1"/>
    <w:qFormat/>
    <w:uiPriority w:val="0"/>
    <w:pPr>
      <w:adjustRightInd w:val="0"/>
      <w:snapToGrid w:val="0"/>
      <w:jc w:val="center"/>
      <w:outlineLvl w:val="0"/>
    </w:pPr>
    <w:rPr>
      <w:rFonts w:ascii="黑体" w:eastAsia="黑体"/>
      <w:b/>
      <w:sz w:val="28"/>
      <w:szCs w:val="28"/>
    </w:rPr>
  </w:style>
  <w:style w:type="paragraph" w:customStyle="1" w:styleId="23">
    <w:name w:val="Table Paragraph"/>
    <w:basedOn w:val="1"/>
    <w:qFormat/>
    <w:uiPriority w:val="1"/>
    <w:pPr>
      <w:autoSpaceDE w:val="0"/>
      <w:autoSpaceDN w:val="0"/>
      <w:jc w:val="left"/>
    </w:pPr>
    <w:rPr>
      <w:rFonts w:ascii="宋体" w:hAnsi="宋体" w:cs="宋体"/>
      <w:kern w:val="0"/>
      <w:sz w:val="22"/>
      <w:lang w:val="zh-CN"/>
    </w:rPr>
  </w:style>
  <w:style w:type="paragraph" w:customStyle="1" w:styleId="24">
    <w:name w:val="列出段落1"/>
    <w:basedOn w:val="1"/>
    <w:qFormat/>
    <w:uiPriority w:val="0"/>
    <w:pPr>
      <w:ind w:firstLine="420" w:firstLineChars="200"/>
    </w:pPr>
  </w:style>
  <w:style w:type="paragraph" w:customStyle="1" w:styleId="25">
    <w:name w:val="列出段落2"/>
    <w:basedOn w:val="1"/>
    <w:qFormat/>
    <w:uiPriority w:val="0"/>
    <w:pPr>
      <w:autoSpaceDE w:val="0"/>
      <w:autoSpaceDN w:val="0"/>
      <w:ind w:left="240" w:firstLine="420"/>
      <w:jc w:val="left"/>
    </w:pPr>
    <w:rPr>
      <w:rFonts w:ascii="宋体" w:hAnsi="宋体" w:cs="宋体"/>
      <w:kern w:val="0"/>
      <w:sz w:val="22"/>
      <w:lang w:val="zh-CN"/>
    </w:rPr>
  </w:style>
  <w:style w:type="paragraph" w:customStyle="1" w:styleId="26">
    <w:name w:val="A标题3"/>
    <w:basedOn w:val="4"/>
    <w:next w:val="1"/>
    <w:qFormat/>
    <w:uiPriority w:val="0"/>
    <w:pPr>
      <w:keepNext/>
      <w:keepLines/>
      <w:tabs>
        <w:tab w:val="left" w:pos="720"/>
        <w:tab w:val="left" w:pos="851"/>
      </w:tabs>
      <w:autoSpaceDE/>
      <w:autoSpaceDN/>
      <w:adjustRightInd w:val="0"/>
      <w:spacing w:line="360" w:lineRule="auto"/>
      <w:jc w:val="both"/>
      <w:textAlignment w:val="baseline"/>
    </w:pPr>
    <w:rPr>
      <w:rFonts w:ascii="Calibri" w:hAnsi="Calibri"/>
      <w:b/>
      <w:kern w:val="24"/>
      <w:sz w:val="24"/>
      <w:szCs w:val="20"/>
    </w:rPr>
  </w:style>
  <w:style w:type="paragraph" w:styleId="27">
    <w:name w:val="List Paragraph"/>
    <w:basedOn w:val="1"/>
    <w:qFormat/>
    <w:uiPriority w:val="99"/>
    <w:pPr>
      <w:ind w:firstLine="420" w:firstLineChars="200"/>
    </w:pPr>
  </w:style>
  <w:style w:type="paragraph" w:customStyle="1" w:styleId="28">
    <w:name w:val="bgg"/>
    <w:basedOn w:val="29"/>
    <w:qFormat/>
    <w:uiPriority w:val="0"/>
    <w:pPr>
      <w:snapToGrid w:val="0"/>
      <w:ind w:left="52" w:leftChars="25" w:right="52" w:rightChars="25"/>
      <w:jc w:val="center"/>
    </w:pPr>
    <w:rPr>
      <w:rFonts w:ascii="Times New Roman" w:hAnsi="Times New Roman"/>
      <w:sz w:val="18"/>
      <w:szCs w:val="18"/>
    </w:rPr>
  </w:style>
  <w:style w:type="paragraph" w:customStyle="1" w:styleId="29">
    <w:name w:val="默认段落字体 Para Char Char Char Char"/>
    <w:basedOn w:val="1"/>
    <w:qFormat/>
    <w:uiPriority w:val="0"/>
    <w:rPr>
      <w:rFonts w:ascii="宋体" w:hAnsi="宋体"/>
      <w:b/>
      <w:color w:val="000000"/>
      <w:kern w:val="0"/>
      <w:sz w:val="24"/>
      <w:szCs w:val="24"/>
    </w:rPr>
  </w:style>
  <w:style w:type="paragraph" w:customStyle="1" w:styleId="30">
    <w:name w:val="p0"/>
    <w:basedOn w:val="1"/>
    <w:qFormat/>
    <w:uiPriority w:val="0"/>
    <w:pPr>
      <w:widowControl/>
    </w:pPr>
    <w:rPr>
      <w:rFonts w:eastAsia="方正仿宋_GBK"/>
      <w:kern w:val="0"/>
      <w:szCs w:val="20"/>
    </w:rPr>
  </w:style>
  <w:style w:type="paragraph" w:customStyle="1" w:styleId="31">
    <w:name w:val="列出段落111"/>
    <w:basedOn w:val="1"/>
    <w:qFormat/>
    <w:uiPriority w:val="0"/>
    <w:pPr>
      <w:autoSpaceDE w:val="0"/>
      <w:autoSpaceDN w:val="0"/>
      <w:ind w:firstLine="420" w:firstLineChars="200"/>
    </w:pPr>
    <w:rPr>
      <w:szCs w:val="20"/>
    </w:rPr>
  </w:style>
  <w:style w:type="character" w:customStyle="1" w:styleId="32">
    <w:name w:val="标题 1.1 Char1"/>
    <w:qFormat/>
    <w:uiPriority w:val="0"/>
    <w:rPr>
      <w:rFonts w:ascii="Arial" w:hAnsi="Arial" w:eastAsia="黑体"/>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13</Pages>
  <Words>9668</Words>
  <Characters>10299</Characters>
  <Lines>0</Lines>
  <Paragraphs>0</Paragraphs>
  <TotalTime>8</TotalTime>
  <ScaleCrop>false</ScaleCrop>
  <LinksUpToDate>false</LinksUpToDate>
  <CharactersWithSpaces>10335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2024-09-04T09:41:00Z</dcterms:created>
  <dc:creator>lg</dc:creator>
  <cp:lastModifiedBy>WZGS_SN</cp:lastModifiedBy>
  <dcterms:modified xsi:type="dcterms:W3CDTF">2025-12-05T04:02:42Z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068A9C79CE5FC7152EFA8D674D569A4C_43</vt:lpwstr>
  </property>
  <property fmtid="{D5CDD505-2E9C-101B-9397-08002B2CF9AE}" pid="4" name="KSOTemplateDocerSaveRecord">
    <vt:lpwstr>eyJoZGlkIjoiNWMyNjAxOTI3NGRiYTg2OGUxZWU3ZmNiMzlmOTJmNGIiLCJ1c2VySWQiOiIyMTU3Mjk0OTEifQ==</vt:lpwstr>
  </property>
</Properties>
</file>