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auto"/>
        <w:jc w:val="center"/>
        <w:outlineLvl w:val="0"/>
        <w:rPr>
          <w:rFonts w:asciiTheme="minorEastAsia" w:hAnsiTheme="minorEastAsia"/>
          <w:szCs w:val="21"/>
        </w:rPr>
      </w:pPr>
      <w:r>
        <w:rPr>
          <w:rFonts w:hint="eastAsia" w:ascii="黑体" w:hAnsi="黑体" w:eastAsia="黑体" w:cs="黑体"/>
          <w:sz w:val="36"/>
          <w:szCs w:val="36"/>
        </w:rPr>
        <w:t>专用资格其他要求</w:t>
      </w:r>
    </w:p>
    <w:p>
      <w:pPr>
        <w:widowControl/>
        <w:adjustRightInd w:val="0"/>
        <w:spacing w:line="360" w:lineRule="auto"/>
        <w:ind w:firstLine="422" w:firstLineChars="200"/>
        <w:outlineLvl w:val="0"/>
        <w:rPr>
          <w:rFonts w:asciiTheme="minorEastAsia" w:hAnsiTheme="minorEastAsia"/>
          <w:b/>
          <w:bCs/>
          <w:szCs w:val="21"/>
        </w:rPr>
      </w:pPr>
      <w:r>
        <w:rPr>
          <w:rFonts w:hint="eastAsia" w:asciiTheme="minorEastAsia" w:hAnsiTheme="minorEastAsia"/>
          <w:b/>
          <w:bCs/>
          <w:szCs w:val="21"/>
        </w:rPr>
        <w:t>一、安全质量要求：</w:t>
      </w:r>
    </w:p>
    <w:p>
      <w:pPr>
        <w:pStyle w:val="13"/>
        <w:adjustRightInd w:val="0"/>
        <w:spacing w:line="360" w:lineRule="auto"/>
        <w:rPr>
          <w:rFonts w:ascii="宋体" w:hAnsi="宋体"/>
          <w:szCs w:val="21"/>
        </w:rPr>
      </w:pPr>
      <w:r>
        <w:rPr>
          <w:rFonts w:hint="eastAsia" w:ascii="宋体" w:hAnsi="宋体"/>
          <w:szCs w:val="21"/>
        </w:rPr>
        <w:t>（1）不得存在：自开标日前三年内发生因投标人原因负同等及以上责任造成的重大质量事故（二级及以上质量事件）；一年内发生因投标人负同等及以上责任造成的较大及以上人身死亡事故（三级及以上人身安全事件）、较大及以上电网、设备事故（三级及以上电网、设备安全事件）；六个月内发生因投标人负同等及以上责任造成的一般人身死亡事故（四级人身安全事件）、一般电网、设备事故（四级电网、设备安全事件）或较大质量事故（三级质量事件）；三个月内发生因投标人负同等及以上责任造成的一般质量事故（四级质量事件）。</w:t>
      </w:r>
    </w:p>
    <w:p>
      <w:pPr>
        <w:pStyle w:val="13"/>
        <w:adjustRightInd w:val="0"/>
        <w:spacing w:line="360" w:lineRule="auto"/>
        <w:rPr>
          <w:rFonts w:ascii="宋体" w:hAnsi="宋体"/>
          <w:szCs w:val="21"/>
        </w:rPr>
      </w:pPr>
      <w:r>
        <w:rPr>
          <w:rFonts w:hint="eastAsia" w:ascii="宋体" w:hAnsi="宋体"/>
          <w:szCs w:val="21"/>
        </w:rPr>
        <w:t>（2）不得在国家电网有限公司 “安全黑名单”或国网江苏省电力有限公司Ⅰ级 “安全负面清单”限入期限内。</w:t>
      </w:r>
    </w:p>
    <w:p>
      <w:pPr>
        <w:pStyle w:val="13"/>
        <w:adjustRightInd w:val="0"/>
        <w:spacing w:line="360" w:lineRule="auto"/>
        <w:rPr>
          <w:rFonts w:ascii="宋体" w:hAnsi="宋体"/>
          <w:szCs w:val="21"/>
        </w:rPr>
      </w:pPr>
      <w:r>
        <w:rPr>
          <w:rFonts w:hint="eastAsia" w:ascii="宋体" w:hAnsi="宋体"/>
          <w:szCs w:val="21"/>
        </w:rPr>
        <w:t>（3）</w:t>
      </w:r>
      <w:r>
        <w:rPr>
          <w:rFonts w:hint="eastAsia" w:ascii="宋体" w:hAnsi="宋体"/>
          <w:b/>
          <w:szCs w:val="21"/>
        </w:rPr>
        <w:t>施工类标段</w:t>
      </w:r>
      <w:r>
        <w:rPr>
          <w:rFonts w:hint="eastAsia" w:ascii="宋体" w:hAnsi="宋体"/>
          <w:szCs w:val="21"/>
        </w:rPr>
        <w:t>：建筑施工企业主要负责人具有《建筑施工企业主要负责人安全生产知识考核合格证书》（安全A证），并提供安全A证持证人的社保证明（缴纳时间至少包括公告发布日前一个月或公告发布当月）</w:t>
      </w:r>
      <w:r>
        <w:rPr>
          <w:rFonts w:hint="eastAsia" w:ascii="宋体" w:hAnsi="宋体"/>
          <w:b/>
          <w:bCs/>
          <w:szCs w:val="21"/>
        </w:rPr>
        <w:t>或</w:t>
      </w:r>
      <w:r>
        <w:rPr>
          <w:rFonts w:hint="eastAsia" w:ascii="宋体" w:hAnsi="宋体"/>
          <w:szCs w:val="21"/>
        </w:rPr>
        <w:t>劳动合同关系证明 （法定代表人可不提供社保证明及劳动合同关系证明）；</w:t>
      </w:r>
    </w:p>
    <w:p>
      <w:pPr>
        <w:widowControl/>
        <w:adjustRightInd w:val="0"/>
        <w:spacing w:line="360" w:lineRule="auto"/>
        <w:ind w:firstLine="422" w:firstLineChars="200"/>
        <w:outlineLvl w:val="0"/>
        <w:rPr>
          <w:rFonts w:asciiTheme="minorEastAsia" w:hAnsiTheme="minorEastAsia"/>
          <w:b/>
          <w:bCs/>
          <w:szCs w:val="21"/>
        </w:rPr>
      </w:pPr>
      <w:r>
        <w:rPr>
          <w:rFonts w:hint="eastAsia" w:asciiTheme="minorEastAsia" w:hAnsiTheme="minorEastAsia"/>
          <w:b/>
          <w:bCs/>
          <w:szCs w:val="21"/>
        </w:rPr>
        <w:t>二、</w:t>
      </w:r>
      <w:r>
        <w:rPr>
          <w:rFonts w:hint="eastAsia" w:asciiTheme="minorEastAsia" w:hAnsiTheme="minorEastAsia"/>
          <w:b/>
          <w:bCs/>
          <w:szCs w:val="21"/>
          <w:lang w:val="en-US" w:eastAsia="zh-CN"/>
        </w:rPr>
        <w:t>投标人</w:t>
      </w:r>
      <w:r>
        <w:rPr>
          <w:rFonts w:hint="eastAsia" w:asciiTheme="minorEastAsia" w:hAnsiTheme="minorEastAsia"/>
          <w:b/>
          <w:bCs/>
          <w:szCs w:val="21"/>
        </w:rPr>
        <w:t>业绩要求：</w:t>
      </w:r>
    </w:p>
    <w:p>
      <w:pPr>
        <w:adjustRightInd w:val="0"/>
        <w:spacing w:line="360" w:lineRule="auto"/>
        <w:ind w:firstLine="420" w:firstLineChars="200"/>
        <w:rPr>
          <w:rFonts w:ascii="宋体" w:hAnsi="宋体"/>
          <w:szCs w:val="21"/>
        </w:rPr>
      </w:pPr>
      <w:r>
        <w:rPr>
          <w:rFonts w:hint="eastAsia" w:ascii="宋体" w:hAnsi="宋体"/>
          <w:szCs w:val="21"/>
        </w:rPr>
        <w:t>见需求一览表</w:t>
      </w:r>
    </w:p>
    <w:p>
      <w:pPr>
        <w:pStyle w:val="13"/>
        <w:adjustRightInd w:val="0"/>
        <w:spacing w:line="360" w:lineRule="auto"/>
        <w:rPr>
          <w:rFonts w:ascii="宋体" w:hAnsi="宋体"/>
          <w:szCs w:val="21"/>
        </w:rPr>
      </w:pPr>
      <w:r>
        <w:rPr>
          <w:rFonts w:hint="eastAsia" w:ascii="宋体" w:hAnsi="宋体"/>
          <w:szCs w:val="21"/>
        </w:rPr>
        <w:t>（1）类似工程是指与招标项目在结构形式、使用功能、建设规模相同或相近的项目；</w:t>
      </w:r>
    </w:p>
    <w:p>
      <w:pPr>
        <w:pStyle w:val="13"/>
        <w:adjustRightInd w:val="0"/>
        <w:spacing w:line="360" w:lineRule="auto"/>
        <w:rPr>
          <w:rFonts w:hint="eastAsia" w:ascii="宋体" w:hAnsi="宋体" w:eastAsiaTheme="minorEastAsia"/>
          <w:szCs w:val="21"/>
          <w:lang w:val="en-US" w:eastAsia="zh-CN"/>
        </w:rPr>
      </w:pPr>
      <w:r>
        <w:rPr>
          <w:rFonts w:hint="eastAsia" w:ascii="宋体" w:hAnsi="宋体"/>
          <w:szCs w:val="21"/>
          <w:highlight w:val="yellow"/>
        </w:rPr>
        <w:t>（2）施工类标段项目业绩认定时间以竣工验收证书（送变电工程启动竣工验收证书或交接证书或验收证书等）签署时间为准</w:t>
      </w:r>
      <w:r>
        <w:rPr>
          <w:rFonts w:hint="eastAsia" w:ascii="宋体" w:hAnsi="宋体"/>
          <w:szCs w:val="21"/>
          <w:highlight w:val="yellow"/>
          <w:lang w:eastAsia="zh-CN"/>
        </w:rPr>
        <w:t>，</w:t>
      </w:r>
      <w:r>
        <w:rPr>
          <w:rFonts w:hint="eastAsia" w:ascii="宋体" w:hAnsi="宋体"/>
          <w:szCs w:val="21"/>
          <w:highlight w:val="yellow"/>
        </w:rPr>
        <w:t>设计、可研设计一体化、监理、服务类标段业绩认定时间以合同签订时间为准</w:t>
      </w:r>
      <w:r>
        <w:rPr>
          <w:rFonts w:hint="eastAsia" w:ascii="宋体" w:hAnsi="宋体"/>
          <w:szCs w:val="21"/>
          <w:highlight w:val="yellow"/>
          <w:lang w:eastAsia="zh-CN"/>
        </w:rPr>
        <w:t>。</w:t>
      </w:r>
      <w:r>
        <w:rPr>
          <w:rFonts w:hint="eastAsia" w:ascii="宋体" w:hAnsi="宋体"/>
          <w:szCs w:val="21"/>
          <w:highlight w:val="yellow"/>
        </w:rPr>
        <w:t>若无签署日期，且无其他可以证明签署日期的文件，则该项业绩无效。若存在多个签署日期的，以最后一方签署的时间为准。</w:t>
      </w:r>
    </w:p>
    <w:p>
      <w:pPr>
        <w:pStyle w:val="13"/>
        <w:adjustRightInd w:val="0"/>
        <w:spacing w:line="360" w:lineRule="auto"/>
        <w:rPr>
          <w:rFonts w:ascii="宋体" w:hAnsi="宋体"/>
          <w:szCs w:val="21"/>
        </w:rPr>
      </w:pPr>
      <w:r>
        <w:rPr>
          <w:rFonts w:hint="eastAsia" w:ascii="宋体" w:hAnsi="宋体"/>
          <w:szCs w:val="21"/>
        </w:rPr>
        <w:t>（3）工程业绩电压等级序列：1000（直流±1100、直流±800）千伏、750（直流±660）千伏、500（直流±500、直流±400）千伏、330（220、直流±320）千伏、110（66）千伏、35千伏、10千伏等；</w:t>
      </w:r>
    </w:p>
    <w:p>
      <w:pPr>
        <w:pStyle w:val="13"/>
        <w:adjustRightInd w:val="0"/>
        <w:spacing w:line="360" w:lineRule="auto"/>
        <w:rPr>
          <w:rFonts w:ascii="宋体" w:hAnsi="宋体"/>
          <w:szCs w:val="21"/>
        </w:rPr>
      </w:pPr>
      <w:r>
        <w:rPr>
          <w:rFonts w:hint="eastAsia" w:ascii="宋体" w:hAnsi="宋体"/>
          <w:szCs w:val="21"/>
        </w:rPr>
        <w:t>（4）转包</w:t>
      </w:r>
      <w:r>
        <w:rPr>
          <w:rFonts w:hint="eastAsia" w:ascii="宋体" w:hAnsi="宋体"/>
          <w:szCs w:val="21"/>
          <w:lang w:eastAsia="zh-CN"/>
        </w:rPr>
        <w:t>、</w:t>
      </w:r>
      <w:r>
        <w:rPr>
          <w:rFonts w:hint="eastAsia" w:ascii="宋体" w:hAnsi="宋体"/>
          <w:szCs w:val="21"/>
        </w:rPr>
        <w:t>分包（招标文件中允许外购外协的除外）业绩视为无效业绩；</w:t>
      </w:r>
    </w:p>
    <w:p>
      <w:pPr>
        <w:pStyle w:val="13"/>
        <w:adjustRightInd w:val="0"/>
        <w:spacing w:line="360" w:lineRule="auto"/>
        <w:rPr>
          <w:rFonts w:ascii="宋体" w:hAnsi="宋体"/>
          <w:szCs w:val="21"/>
        </w:rPr>
      </w:pPr>
      <w:r>
        <w:rPr>
          <w:rFonts w:hint="eastAsia" w:ascii="宋体" w:hAnsi="宋体"/>
          <w:szCs w:val="21"/>
        </w:rPr>
        <w:t>（5）</w:t>
      </w:r>
      <w:r>
        <w:rPr>
          <w:rFonts w:ascii="宋体" w:hAnsi="宋体"/>
          <w:szCs w:val="21"/>
        </w:rPr>
        <w:t>收购其他企业，被收购企业注销的，收购方可承继被收购方的业绩</w:t>
      </w:r>
      <w:r>
        <w:rPr>
          <w:rFonts w:hint="eastAsia" w:ascii="宋体" w:hAnsi="宋体"/>
          <w:szCs w:val="21"/>
        </w:rPr>
        <w:t>;</w:t>
      </w:r>
      <w:r>
        <w:rPr>
          <w:rFonts w:ascii="宋体" w:hAnsi="宋体"/>
          <w:szCs w:val="21"/>
        </w:rPr>
        <w:t xml:space="preserve"> 重组改制中涉及企业合并、分立、名称变更的，须提供充足的证明材料，方可承继原企业的业绩</w:t>
      </w:r>
      <w:r>
        <w:rPr>
          <w:rFonts w:hint="eastAsia" w:ascii="宋体" w:hAnsi="宋体"/>
          <w:szCs w:val="21"/>
        </w:rPr>
        <w:t>。</w:t>
      </w:r>
    </w:p>
    <w:p>
      <w:pPr>
        <w:pStyle w:val="13"/>
        <w:adjustRightInd w:val="0"/>
        <w:spacing w:line="360" w:lineRule="auto"/>
        <w:rPr>
          <w:rFonts w:hint="eastAsia" w:ascii="宋体" w:hAnsi="宋体"/>
          <w:szCs w:val="21"/>
          <w:highlight w:val="yellow"/>
          <w:lang w:val="en-US" w:eastAsia="zh-CN"/>
        </w:rPr>
      </w:pPr>
      <w:r>
        <w:rPr>
          <w:rFonts w:hint="eastAsia" w:ascii="宋体" w:hAnsi="宋体"/>
          <w:szCs w:val="21"/>
          <w:highlight w:val="yellow"/>
        </w:rPr>
        <w:t>（6）</w:t>
      </w:r>
      <w:r>
        <w:rPr>
          <w:rFonts w:hint="eastAsia" w:ascii="宋体" w:hAnsi="宋体"/>
          <w:szCs w:val="21"/>
          <w:highlight w:val="yellow"/>
          <w:lang w:val="en-US" w:eastAsia="zh-CN"/>
        </w:rPr>
        <w:t>近2年指：2023</w:t>
      </w:r>
      <w:r>
        <w:rPr>
          <w:rFonts w:hint="eastAsia" w:ascii="宋体" w:hAnsi="宋体"/>
          <w:szCs w:val="21"/>
          <w:highlight w:val="yellow"/>
        </w:rPr>
        <w:t>年1月1日至</w:t>
      </w:r>
      <w:r>
        <w:rPr>
          <w:highlight w:val="yellow"/>
        </w:rPr>
        <w:fldChar w:fldCharType="begin"/>
      </w:r>
      <w:r>
        <w:rPr>
          <w:highlight w:val="yellow"/>
        </w:rPr>
        <w:instrText xml:space="preserve"> MERGEFIELD  ${yesterday}  \* MERGEFORMAT </w:instrText>
      </w:r>
      <w:r>
        <w:rPr>
          <w:highlight w:val="yellow"/>
        </w:rPr>
        <w:fldChar w:fldCharType="separate"/>
      </w:r>
      <w:r>
        <w:rPr>
          <w:rFonts w:hint="eastAsia" w:ascii="宋体" w:hAnsi="宋体"/>
          <w:szCs w:val="21"/>
          <w:highlight w:val="yellow"/>
          <w:lang w:val="en-US" w:eastAsia="zh-CN"/>
        </w:rPr>
        <w:t>2025年10月31日</w:t>
      </w:r>
      <w:r>
        <w:rPr>
          <w:rFonts w:ascii="宋体" w:hAnsi="宋体"/>
          <w:szCs w:val="21"/>
          <w:highlight w:val="yellow"/>
        </w:rPr>
        <w:fldChar w:fldCharType="end"/>
      </w:r>
      <w:r>
        <w:rPr>
          <w:rFonts w:hint="eastAsia" w:ascii="宋体" w:hAnsi="宋体"/>
          <w:szCs w:val="21"/>
          <w:highlight w:val="yellow"/>
        </w:rPr>
        <w:t>；近3年指：202</w:t>
      </w:r>
      <w:r>
        <w:rPr>
          <w:rFonts w:hint="eastAsia" w:ascii="宋体" w:hAnsi="宋体"/>
          <w:szCs w:val="21"/>
          <w:highlight w:val="yellow"/>
          <w:lang w:val="en-US" w:eastAsia="zh-CN"/>
        </w:rPr>
        <w:t>2</w:t>
      </w:r>
      <w:r>
        <w:rPr>
          <w:rFonts w:hint="eastAsia" w:ascii="宋体" w:hAnsi="宋体"/>
          <w:szCs w:val="21"/>
          <w:highlight w:val="yellow"/>
        </w:rPr>
        <w:t>年1月1日至</w:t>
      </w:r>
      <w:r>
        <w:rPr>
          <w:highlight w:val="yellow"/>
        </w:rPr>
        <w:fldChar w:fldCharType="begin"/>
      </w:r>
      <w:r>
        <w:rPr>
          <w:highlight w:val="yellow"/>
        </w:rPr>
        <w:instrText xml:space="preserve"> MERGEFIELD  ${yesterday}  \* MERGEFORMAT </w:instrText>
      </w:r>
      <w:r>
        <w:rPr>
          <w:highlight w:val="yellow"/>
        </w:rPr>
        <w:fldChar w:fldCharType="separate"/>
      </w:r>
      <w:r>
        <w:rPr>
          <w:rFonts w:hint="eastAsia" w:ascii="宋体" w:hAnsi="宋体"/>
          <w:szCs w:val="21"/>
          <w:highlight w:val="yellow"/>
        </w:rPr>
        <w:t>202</w:t>
      </w:r>
      <w:r>
        <w:rPr>
          <w:rFonts w:hint="eastAsia" w:ascii="宋体" w:hAnsi="宋体"/>
          <w:szCs w:val="21"/>
          <w:highlight w:val="yellow"/>
          <w:lang w:val="en-US" w:eastAsia="zh-CN"/>
        </w:rPr>
        <w:t>5</w:t>
      </w:r>
      <w:r>
        <w:rPr>
          <w:rFonts w:hint="eastAsia" w:ascii="宋体" w:hAnsi="宋体"/>
          <w:szCs w:val="21"/>
          <w:highlight w:val="yellow"/>
        </w:rPr>
        <w:t>年</w:t>
      </w:r>
      <w:r>
        <w:rPr>
          <w:rFonts w:hint="eastAsia" w:ascii="宋体" w:hAnsi="宋体"/>
          <w:szCs w:val="21"/>
          <w:highlight w:val="yellow"/>
          <w:lang w:val="en-US" w:eastAsia="zh-CN"/>
        </w:rPr>
        <w:t>10月31日</w:t>
      </w:r>
      <w:r>
        <w:rPr>
          <w:rFonts w:ascii="宋体" w:hAnsi="宋体"/>
          <w:szCs w:val="21"/>
          <w:highlight w:val="yellow"/>
        </w:rPr>
        <w:fldChar w:fldCharType="end"/>
      </w:r>
      <w:r>
        <w:rPr>
          <w:rFonts w:hint="eastAsia" w:ascii="宋体" w:hAnsi="宋体"/>
          <w:szCs w:val="21"/>
          <w:highlight w:val="yellow"/>
          <w:lang w:eastAsia="zh-CN"/>
        </w:rPr>
        <w:t>；</w:t>
      </w:r>
      <w:r>
        <w:rPr>
          <w:rFonts w:hint="eastAsia" w:ascii="宋体" w:hAnsi="宋体"/>
          <w:szCs w:val="21"/>
          <w:highlight w:val="yellow"/>
        </w:rPr>
        <w:t>近5年指：20</w:t>
      </w:r>
      <w:r>
        <w:rPr>
          <w:rFonts w:hint="eastAsia" w:ascii="宋体" w:hAnsi="宋体"/>
          <w:szCs w:val="21"/>
          <w:highlight w:val="yellow"/>
          <w:lang w:val="en-US" w:eastAsia="zh-CN"/>
        </w:rPr>
        <w:t>20</w:t>
      </w:r>
      <w:r>
        <w:rPr>
          <w:rFonts w:hint="eastAsia" w:ascii="宋体" w:hAnsi="宋体"/>
          <w:szCs w:val="21"/>
          <w:highlight w:val="yellow"/>
        </w:rPr>
        <w:t>年1月1日至</w:t>
      </w:r>
      <w:r>
        <w:rPr>
          <w:rFonts w:hint="eastAsia" w:ascii="宋体" w:hAnsi="宋体"/>
          <w:szCs w:val="21"/>
          <w:highlight w:val="yellow"/>
          <w:lang w:val="en-US" w:eastAsia="zh-CN"/>
        </w:rPr>
        <w:t>2025年10月31日。</w:t>
      </w:r>
    </w:p>
    <w:p>
      <w:pPr>
        <w:pStyle w:val="13"/>
        <w:adjustRightInd w:val="0"/>
        <w:spacing w:line="360" w:lineRule="auto"/>
        <w:rPr>
          <w:rFonts w:ascii="宋体" w:hAnsi="宋体"/>
          <w:szCs w:val="21"/>
        </w:rPr>
      </w:pPr>
      <w:r>
        <w:rPr>
          <w:rFonts w:hint="eastAsia" w:ascii="宋体" w:hAnsi="宋体"/>
          <w:szCs w:val="21"/>
        </w:rPr>
        <w:t>（7）</w:t>
      </w:r>
      <w:bookmarkStart w:id="0" w:name="_GoBack"/>
      <w:bookmarkEnd w:id="0"/>
      <w:r>
        <w:rPr>
          <w:rFonts w:hint="eastAsia" w:ascii="宋体" w:hAnsi="宋体"/>
          <w:szCs w:val="21"/>
        </w:rPr>
        <w:t>业绩上传要求：</w:t>
      </w:r>
    </w:p>
    <w:p>
      <w:pPr>
        <w:pStyle w:val="13"/>
        <w:adjustRightInd w:val="0"/>
        <w:spacing w:line="360" w:lineRule="auto"/>
        <w:rPr>
          <w:rFonts w:hint="default" w:ascii="宋体" w:hAnsi="宋体" w:eastAsiaTheme="minorEastAsia"/>
          <w:szCs w:val="21"/>
          <w:lang w:val="en-US" w:eastAsia="zh-CN"/>
        </w:rPr>
      </w:pPr>
      <w:r>
        <w:rPr>
          <w:rFonts w:hint="eastAsia" w:ascii="宋体" w:hAnsi="宋体"/>
          <w:szCs w:val="21"/>
        </w:rPr>
        <w:t>所有业绩证明材料原件应</w:t>
      </w:r>
      <w:r>
        <w:rPr>
          <w:highlight w:val="none"/>
        </w:rPr>
        <w:fldChar w:fldCharType="begin"/>
      </w:r>
      <w:r>
        <w:rPr>
          <w:highlight w:val="none"/>
        </w:rPr>
        <w:instrText xml:space="preserve"> MERGEFIELD  ${yesterday}  \* MERGEFORMAT </w:instrText>
      </w:r>
      <w:r>
        <w:rPr>
          <w:highlight w:val="none"/>
        </w:rPr>
        <w:fldChar w:fldCharType="separate"/>
      </w:r>
      <w:r>
        <w:rPr>
          <w:rFonts w:hint="eastAsia" w:ascii="宋体" w:hAnsi="宋体"/>
          <w:szCs w:val="21"/>
          <w:highlight w:val="none"/>
        </w:rPr>
        <w:t>202</w:t>
      </w:r>
      <w:r>
        <w:rPr>
          <w:rFonts w:hint="eastAsia" w:ascii="宋体" w:hAnsi="宋体"/>
          <w:szCs w:val="21"/>
          <w:highlight w:val="none"/>
          <w:lang w:val="en-US" w:eastAsia="zh-CN"/>
        </w:rPr>
        <w:t>5</w:t>
      </w:r>
      <w:r>
        <w:rPr>
          <w:rFonts w:hint="eastAsia" w:ascii="宋体" w:hAnsi="宋体"/>
          <w:szCs w:val="21"/>
          <w:highlight w:val="none"/>
        </w:rPr>
        <w:t>年</w:t>
      </w:r>
      <w:r>
        <w:rPr>
          <w:rFonts w:hint="eastAsia" w:ascii="宋体" w:hAnsi="宋体"/>
          <w:szCs w:val="21"/>
          <w:highlight w:val="none"/>
          <w:lang w:val="en-US" w:eastAsia="zh-CN"/>
        </w:rPr>
        <w:t>10月31日</w:t>
      </w:r>
      <w:r>
        <w:rPr>
          <w:rFonts w:ascii="宋体" w:hAnsi="宋体"/>
          <w:szCs w:val="21"/>
          <w:highlight w:val="none"/>
        </w:rPr>
        <w:fldChar w:fldCharType="end"/>
      </w:r>
      <w:r>
        <w:rPr>
          <w:rFonts w:hint="eastAsia" w:ascii="宋体" w:hAnsi="宋体"/>
          <w:szCs w:val="21"/>
          <w:lang w:eastAsia="zh-CN"/>
        </w:rPr>
        <w:t>及之</w:t>
      </w:r>
      <w:r>
        <w:rPr>
          <w:rFonts w:hint="eastAsia" w:ascii="宋体" w:hAnsi="宋体"/>
          <w:szCs w:val="21"/>
        </w:rPr>
        <w:t>前生成，并提供用户信息备查，必要时要求投标人提供原件核实。</w:t>
      </w:r>
    </w:p>
    <w:p>
      <w:pPr>
        <w:pStyle w:val="13"/>
        <w:adjustRightInd w:val="0"/>
        <w:spacing w:line="360" w:lineRule="auto"/>
        <w:rPr>
          <w:rFonts w:ascii="宋体" w:hAnsi="宋体"/>
          <w:szCs w:val="21"/>
        </w:rPr>
      </w:pPr>
      <w:r>
        <w:rPr>
          <w:rFonts w:hint="eastAsia" w:ascii="宋体" w:hAnsi="宋体"/>
          <w:szCs w:val="21"/>
        </w:rPr>
        <w:t>1.提供的项目业绩应与投标人所投标包在本批需求一览表中“企业业绩要求”列要求的业绩</w:t>
      </w:r>
      <w:r>
        <w:rPr>
          <w:rFonts w:hint="eastAsia" w:ascii="宋体" w:hAnsi="宋体"/>
          <w:b/>
          <w:szCs w:val="21"/>
        </w:rPr>
        <w:t>类型一致</w:t>
      </w:r>
      <w:r>
        <w:rPr>
          <w:rFonts w:hint="eastAsia" w:ascii="宋体" w:hAnsi="宋体"/>
          <w:szCs w:val="21"/>
        </w:rPr>
        <w:t>。</w:t>
      </w:r>
    </w:p>
    <w:p>
      <w:pPr>
        <w:pStyle w:val="13"/>
        <w:adjustRightInd w:val="0"/>
        <w:spacing w:line="360" w:lineRule="auto"/>
        <w:rPr>
          <w:rFonts w:ascii="宋体" w:hAnsi="宋体"/>
          <w:szCs w:val="21"/>
        </w:rPr>
      </w:pPr>
      <w:r>
        <w:rPr>
          <w:rFonts w:hint="eastAsia" w:ascii="宋体" w:hAnsi="宋体"/>
          <w:szCs w:val="21"/>
        </w:rPr>
        <w:t>2.提供的项目业绩均应出具相关</w:t>
      </w:r>
      <w:r>
        <w:rPr>
          <w:rFonts w:hint="eastAsia" w:ascii="宋体" w:hAnsi="宋体"/>
          <w:b/>
          <w:szCs w:val="21"/>
        </w:rPr>
        <w:t>合同原件</w:t>
      </w:r>
      <w:r>
        <w:rPr>
          <w:rFonts w:hint="eastAsia" w:ascii="宋体" w:hAnsi="宋体"/>
          <w:szCs w:val="21"/>
        </w:rPr>
        <w:t>的关键部分（包括封面、合同协议书、签署页、关键条款等）和</w:t>
      </w:r>
      <w:r>
        <w:rPr>
          <w:rFonts w:hint="eastAsia" w:ascii="宋体" w:hAnsi="宋体"/>
          <w:b/>
          <w:szCs w:val="21"/>
        </w:rPr>
        <w:t>发票信息</w:t>
      </w:r>
      <w:r>
        <w:rPr>
          <w:rFonts w:hint="eastAsia" w:ascii="宋体" w:hAnsi="宋体"/>
          <w:szCs w:val="21"/>
        </w:rPr>
        <w:t>（提供预付款、进度款、结算款三种发票中的一种，</w:t>
      </w:r>
      <w:r>
        <w:rPr>
          <w:rFonts w:ascii="Times New Roman" w:hAnsi="Times New Roman"/>
          <w:szCs w:val="21"/>
          <w:highlight w:val="yellow"/>
        </w:rPr>
        <w:t>如因</w:t>
      </w:r>
      <w:r>
        <w:rPr>
          <w:rFonts w:hint="eastAsia"/>
          <w:szCs w:val="21"/>
          <w:highlight w:val="yellow"/>
        </w:rPr>
        <w:t>发票信息提供有误</w:t>
      </w:r>
      <w:r>
        <w:rPr>
          <w:rFonts w:ascii="Times New Roman" w:hAnsi="Times New Roman"/>
          <w:szCs w:val="21"/>
          <w:highlight w:val="yellow"/>
        </w:rPr>
        <w:t>无法查验的，该业绩</w:t>
      </w:r>
      <w:r>
        <w:rPr>
          <w:rFonts w:hint="eastAsia"/>
          <w:szCs w:val="21"/>
          <w:highlight w:val="yellow"/>
        </w:rPr>
        <w:t>将</w:t>
      </w:r>
      <w:r>
        <w:rPr>
          <w:rFonts w:ascii="Times New Roman" w:hAnsi="Times New Roman"/>
          <w:szCs w:val="21"/>
          <w:highlight w:val="yellow"/>
        </w:rPr>
        <w:t>不被认可</w:t>
      </w:r>
      <w:r>
        <w:rPr>
          <w:rFonts w:hint="eastAsia" w:ascii="宋体" w:hAnsi="宋体"/>
          <w:szCs w:val="21"/>
        </w:rPr>
        <w:t>）作为支撑材料（</w:t>
      </w:r>
      <w:r>
        <w:rPr>
          <w:rFonts w:hint="eastAsia" w:ascii="宋体" w:hAnsi="宋体"/>
          <w:b/>
          <w:bCs/>
          <w:szCs w:val="21"/>
        </w:rPr>
        <w:t>特别提醒：投标人可在国家税务总局全国增值税发票查验平台查询投标发票状态</w:t>
      </w:r>
      <w:r>
        <w:rPr>
          <w:rFonts w:hint="eastAsia" w:ascii="宋体" w:hAnsi="宋体"/>
          <w:szCs w:val="21"/>
        </w:rPr>
        <w:t>）；</w:t>
      </w:r>
      <w:r>
        <w:rPr>
          <w:rFonts w:hint="eastAsia" w:ascii="宋体" w:hAnsi="宋体"/>
          <w:b/>
          <w:szCs w:val="21"/>
        </w:rPr>
        <w:t>施工类标段</w:t>
      </w:r>
      <w:r>
        <w:rPr>
          <w:rFonts w:hint="eastAsia" w:ascii="宋体" w:hAnsi="宋体"/>
          <w:szCs w:val="21"/>
        </w:rPr>
        <w:t>项目还需同时提供</w:t>
      </w:r>
      <w:r>
        <w:rPr>
          <w:rFonts w:hint="eastAsia" w:ascii="宋体" w:hAnsi="宋体"/>
          <w:b/>
          <w:szCs w:val="21"/>
        </w:rPr>
        <w:t>竣工验收证书</w:t>
      </w:r>
      <w:r>
        <w:rPr>
          <w:rFonts w:hint="eastAsia" w:ascii="宋体" w:hAnsi="宋体"/>
          <w:szCs w:val="21"/>
        </w:rPr>
        <w:t>（送变电工程启动竣工验收证书或交接证书或验收证书等）影印件作为业绩支撑材料；</w:t>
      </w:r>
    </w:p>
    <w:p>
      <w:pPr>
        <w:pStyle w:val="13"/>
        <w:adjustRightInd w:val="0"/>
        <w:spacing w:line="360" w:lineRule="auto"/>
        <w:rPr>
          <w:rFonts w:ascii="宋体" w:hAnsi="宋体"/>
          <w:szCs w:val="21"/>
        </w:rPr>
      </w:pPr>
      <w:r>
        <w:rPr>
          <w:rFonts w:hint="eastAsia" w:ascii="宋体" w:hAnsi="宋体"/>
          <w:szCs w:val="21"/>
        </w:rPr>
        <w:t>（8）框架协议项目业绩按框架协议合同数量计算。</w:t>
      </w:r>
    </w:p>
    <w:p>
      <w:pPr>
        <w:widowControl/>
        <w:adjustRightInd w:val="0"/>
        <w:spacing w:line="360" w:lineRule="auto"/>
        <w:ind w:firstLine="422" w:firstLineChars="200"/>
        <w:outlineLvl w:val="0"/>
        <w:rPr>
          <w:rFonts w:asciiTheme="minorEastAsia" w:hAnsiTheme="minorEastAsia"/>
          <w:b/>
          <w:bCs/>
          <w:szCs w:val="21"/>
        </w:rPr>
      </w:pPr>
      <w:r>
        <w:rPr>
          <w:rFonts w:hint="eastAsia" w:asciiTheme="minorEastAsia" w:hAnsiTheme="minorEastAsia"/>
          <w:b/>
          <w:bCs/>
          <w:szCs w:val="21"/>
        </w:rPr>
        <w:t>三、主要人员要求：</w:t>
      </w:r>
    </w:p>
    <w:p>
      <w:pPr>
        <w:pStyle w:val="13"/>
        <w:adjustRightInd w:val="0"/>
        <w:spacing w:line="360" w:lineRule="auto"/>
        <w:rPr>
          <w:rFonts w:ascii="宋体" w:hAnsi="宋体"/>
          <w:b/>
          <w:szCs w:val="21"/>
        </w:rPr>
      </w:pPr>
      <w:r>
        <w:rPr>
          <w:rFonts w:hint="eastAsia" w:ascii="宋体" w:hAnsi="宋体"/>
          <w:szCs w:val="21"/>
        </w:rPr>
        <w:t>见需求一览表，上传要求详见下表。</w:t>
      </w:r>
      <w:r>
        <w:rPr>
          <w:rFonts w:hint="eastAsia" w:ascii="宋体" w:hAnsi="宋体"/>
          <w:b/>
          <w:szCs w:val="21"/>
          <w:highlight w:val="yellow"/>
        </w:rPr>
        <w:t>提示：所有标包均需响应项目负责人（或项目经理）。</w:t>
      </w:r>
    </w:p>
    <w:tbl>
      <w:tblPr>
        <w:tblStyle w:val="10"/>
        <w:tblW w:w="833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2290"/>
        <w:gridCol w:w="1512"/>
        <w:gridCol w:w="1511"/>
        <w:gridCol w:w="1512"/>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737" w:hRule="atLeast"/>
          <w:tblHeader/>
          <w:jc w:val="center"/>
        </w:trPr>
        <w:tc>
          <w:tcPr>
            <w:tcW w:w="2290" w:type="dxa"/>
            <w:tcBorders>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主要人员证明材料</w:t>
            </w:r>
          </w:p>
        </w:tc>
        <w:tc>
          <w:tcPr>
            <w:tcW w:w="1512" w:type="dxa"/>
            <w:tcBorders>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项目经理（适用于施工类分标）</w:t>
            </w:r>
          </w:p>
        </w:tc>
        <w:tc>
          <w:tcPr>
            <w:tcW w:w="1511" w:type="dxa"/>
            <w:tcBorders>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项目负责人（适用于设计类、可研设计一体化类、监理类、服务类分标）</w:t>
            </w:r>
          </w:p>
        </w:tc>
        <w:tc>
          <w:tcPr>
            <w:tcW w:w="1512" w:type="dxa"/>
            <w:tcBorders>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公告需求一览表“主要人员要求”列要求的其他人员（适用于所有分标）</w:t>
            </w:r>
          </w:p>
        </w:tc>
        <w:tc>
          <w:tcPr>
            <w:tcW w:w="1511" w:type="dxa"/>
            <w:tcBorders>
              <w:left w:val="nil"/>
              <w:bottom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sz w:val="20"/>
                <w:szCs w:val="20"/>
              </w:rPr>
            </w:pPr>
            <w:r>
              <w:rPr>
                <w:rFonts w:hint="eastAsia" w:ascii="宋体" w:hAnsi="宋体" w:eastAsia="宋体" w:cs="宋体"/>
                <w:b/>
                <w:kern w:val="0"/>
                <w:sz w:val="20"/>
                <w:szCs w:val="20"/>
                <w:lang w:bidi="ar"/>
              </w:rPr>
              <w:t>招标文件中要求的其他人员（如有）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2290" w:type="dxa"/>
            <w:tcBorders>
              <w:top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项目经理安全生产考核证书（安全B证）</w:t>
            </w:r>
          </w:p>
        </w:tc>
        <w:tc>
          <w:tcPr>
            <w:tcW w:w="1512"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c>
          <w:tcPr>
            <w:tcW w:w="1511"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c>
          <w:tcPr>
            <w:tcW w:w="1512"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c>
          <w:tcPr>
            <w:tcW w:w="1511" w:type="dxa"/>
            <w:tcBorders>
              <w:top w:val="single" w:color="000000" w:sz="8" w:space="0"/>
              <w:left w:val="nil"/>
              <w:bottom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2290" w:type="dxa"/>
            <w:tcBorders>
              <w:top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资格证书（按公告需求一览表“主要人员要求”列提供）</w:t>
            </w:r>
          </w:p>
        </w:tc>
        <w:tc>
          <w:tcPr>
            <w:tcW w:w="15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c>
          <w:tcPr>
            <w:tcW w:w="1511"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1" w:type="dxa"/>
            <w:tcBorders>
              <w:top w:val="nil"/>
              <w:left w:val="nil"/>
              <w:bottom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√（如有要求）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290" w:type="dxa"/>
            <w:tcBorders>
              <w:top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职称证</w:t>
            </w:r>
          </w:p>
        </w:tc>
        <w:tc>
          <w:tcPr>
            <w:tcW w:w="1512" w:type="dxa"/>
            <w:tcBorders>
              <w:top w:val="nil"/>
              <w:left w:val="nil"/>
              <w:bottom w:val="single" w:color="000000" w:sz="8" w:space="0"/>
              <w:right w:val="single" w:color="000000" w:sz="8" w:space="0"/>
            </w:tcBorders>
            <w:shd w:val="clear" w:color="auto" w:fill="auto"/>
            <w:tcMar>
              <w:top w:w="15" w:type="dxa"/>
              <w:left w:w="15" w:type="dxa"/>
              <w:right w:w="15" w:type="dxa"/>
            </w:tcMar>
          </w:tcPr>
          <w:p>
            <w:pPr>
              <w:widowControl/>
              <w:jc w:val="center"/>
              <w:textAlignment w:val="top"/>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1" w:type="dxa"/>
            <w:tcBorders>
              <w:top w:val="nil"/>
              <w:left w:val="nil"/>
              <w:bottom w:val="single" w:color="000000" w:sz="8" w:space="0"/>
              <w:right w:val="single" w:color="000000" w:sz="8" w:space="0"/>
            </w:tcBorders>
            <w:shd w:val="clear" w:color="auto" w:fill="auto"/>
            <w:tcMar>
              <w:top w:w="15" w:type="dxa"/>
              <w:left w:w="15" w:type="dxa"/>
              <w:right w:w="15" w:type="dxa"/>
            </w:tcMar>
          </w:tcPr>
          <w:p>
            <w:pPr>
              <w:widowControl/>
              <w:jc w:val="center"/>
              <w:textAlignment w:val="top"/>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1" w:type="dxa"/>
            <w:tcBorders>
              <w:top w:val="nil"/>
              <w:left w:val="nil"/>
              <w:bottom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√（如有要求）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290" w:type="dxa"/>
            <w:tcBorders>
              <w:top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学历证明</w:t>
            </w:r>
          </w:p>
        </w:tc>
        <w:tc>
          <w:tcPr>
            <w:tcW w:w="1512" w:type="dxa"/>
            <w:tcBorders>
              <w:top w:val="nil"/>
              <w:left w:val="nil"/>
              <w:bottom w:val="single" w:color="000000" w:sz="8" w:space="0"/>
              <w:right w:val="single" w:color="000000" w:sz="8" w:space="0"/>
            </w:tcBorders>
            <w:shd w:val="clear" w:color="auto" w:fill="auto"/>
            <w:tcMar>
              <w:top w:w="15" w:type="dxa"/>
              <w:left w:w="15" w:type="dxa"/>
              <w:right w:w="15" w:type="dxa"/>
            </w:tcMar>
          </w:tcPr>
          <w:p>
            <w:pPr>
              <w:widowControl/>
              <w:jc w:val="center"/>
              <w:textAlignment w:val="top"/>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1" w:type="dxa"/>
            <w:tcBorders>
              <w:top w:val="nil"/>
              <w:left w:val="nil"/>
              <w:bottom w:val="single" w:color="000000" w:sz="8" w:space="0"/>
              <w:right w:val="single" w:color="000000" w:sz="8" w:space="0"/>
            </w:tcBorders>
            <w:shd w:val="clear" w:color="auto" w:fill="auto"/>
            <w:tcMar>
              <w:top w:w="15" w:type="dxa"/>
              <w:left w:w="15" w:type="dxa"/>
              <w:right w:w="15" w:type="dxa"/>
            </w:tcMar>
          </w:tcPr>
          <w:p>
            <w:pPr>
              <w:widowControl/>
              <w:jc w:val="center"/>
              <w:textAlignment w:val="top"/>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√（如有要求）</w:t>
            </w:r>
          </w:p>
        </w:tc>
        <w:tc>
          <w:tcPr>
            <w:tcW w:w="1511" w:type="dxa"/>
            <w:tcBorders>
              <w:top w:val="nil"/>
              <w:left w:val="nil"/>
              <w:bottom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√（如有要求）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75" w:hRule="atLeast"/>
          <w:jc w:val="center"/>
        </w:trPr>
        <w:tc>
          <w:tcPr>
            <w:tcW w:w="2290" w:type="dxa"/>
            <w:tcBorders>
              <w:top w:val="nil"/>
              <w:right w:val="single" w:color="000000" w:sz="8"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kern w:val="0"/>
                <w:sz w:val="20"/>
                <w:szCs w:val="20"/>
                <w:lang w:bidi="ar"/>
              </w:rPr>
            </w:pPr>
            <w:r>
              <w:rPr>
                <w:rFonts w:hint="eastAsia" w:ascii="宋体" w:hAnsi="宋体" w:eastAsia="宋体" w:cs="宋体"/>
                <w:b/>
                <w:bCs/>
                <w:kern w:val="0"/>
                <w:sz w:val="20"/>
                <w:szCs w:val="20"/>
                <w:lang w:val="en-US" w:eastAsia="zh-CN" w:bidi="ar"/>
              </w:rPr>
              <w:t>投标单位缴纳</w:t>
            </w:r>
            <w:r>
              <w:rPr>
                <w:rFonts w:hint="eastAsia" w:ascii="宋体" w:hAnsi="宋体" w:eastAsia="宋体" w:cs="宋体"/>
                <w:kern w:val="0"/>
                <w:sz w:val="20"/>
                <w:szCs w:val="20"/>
                <w:lang w:val="en-US" w:eastAsia="zh-CN" w:bidi="ar"/>
              </w:rPr>
              <w:t>的</w:t>
            </w:r>
            <w:r>
              <w:rPr>
                <w:rFonts w:hint="eastAsia" w:ascii="宋体" w:hAnsi="宋体" w:eastAsia="宋体" w:cs="宋体"/>
                <w:kern w:val="0"/>
                <w:sz w:val="20"/>
                <w:szCs w:val="20"/>
                <w:lang w:bidi="ar"/>
              </w:rPr>
              <w:t>社保证明（缴纳时间至少包括公告发布日前一个月或公告发布当月）</w:t>
            </w:r>
            <w:r>
              <w:rPr>
                <w:rFonts w:hint="eastAsia" w:ascii="宋体" w:hAnsi="宋体" w:eastAsia="宋体" w:cs="宋体"/>
                <w:kern w:val="0"/>
                <w:sz w:val="20"/>
                <w:szCs w:val="20"/>
                <w:lang w:bidi="ar"/>
              </w:rPr>
              <w:br w:type="textWrapping"/>
            </w:r>
            <w:r>
              <w:rPr>
                <w:rFonts w:hint="eastAsia" w:ascii="宋体" w:hAnsi="宋体" w:eastAsia="宋体" w:cs="宋体"/>
                <w:b/>
                <w:kern w:val="0"/>
                <w:sz w:val="20"/>
                <w:szCs w:val="20"/>
                <w:lang w:bidi="ar"/>
              </w:rPr>
              <w:t>或</w:t>
            </w:r>
            <w:r>
              <w:rPr>
                <w:rFonts w:hint="eastAsia" w:ascii="宋体" w:hAnsi="宋体" w:eastAsia="宋体" w:cs="宋体"/>
                <w:kern w:val="0"/>
                <w:sz w:val="20"/>
                <w:szCs w:val="20"/>
                <w:lang w:bidi="ar"/>
              </w:rPr>
              <w:br w:type="textWrapping"/>
            </w:r>
            <w:r>
              <w:rPr>
                <w:rFonts w:hint="eastAsia" w:ascii="宋体" w:hAnsi="宋体" w:eastAsia="宋体" w:cs="宋体"/>
                <w:b/>
                <w:bCs/>
                <w:kern w:val="0"/>
                <w:sz w:val="20"/>
                <w:szCs w:val="20"/>
                <w:lang w:val="en-US" w:eastAsia="zh-CN" w:bidi="ar"/>
              </w:rPr>
              <w:t>与投标单位</w:t>
            </w:r>
            <w:r>
              <w:rPr>
                <w:rFonts w:hint="eastAsia" w:ascii="宋体" w:hAnsi="宋体" w:eastAsia="宋体" w:cs="宋体"/>
                <w:b w:val="0"/>
                <w:bCs w:val="0"/>
                <w:kern w:val="0"/>
                <w:sz w:val="20"/>
                <w:szCs w:val="20"/>
                <w:lang w:val="en-US" w:eastAsia="zh-CN" w:bidi="ar"/>
              </w:rPr>
              <w:t>的</w:t>
            </w:r>
            <w:r>
              <w:rPr>
                <w:rFonts w:hint="eastAsia" w:ascii="宋体" w:hAnsi="宋体" w:eastAsia="宋体" w:cs="宋体"/>
                <w:kern w:val="0"/>
                <w:sz w:val="20"/>
                <w:szCs w:val="20"/>
                <w:lang w:bidi="ar"/>
              </w:rPr>
              <w:t>劳动合同关系证明</w:t>
            </w:r>
          </w:p>
          <w:p>
            <w:pPr>
              <w:widowControl/>
              <w:jc w:val="center"/>
              <w:textAlignment w:val="center"/>
              <w:rPr>
                <w:rFonts w:hint="eastAsia" w:ascii="宋体" w:hAnsi="宋体" w:eastAsia="宋体" w:cs="宋体"/>
                <w:sz w:val="20"/>
                <w:szCs w:val="20"/>
                <w:lang w:eastAsia="zh-CN"/>
              </w:rPr>
            </w:pPr>
            <w:r>
              <w:rPr>
                <w:rFonts w:hint="eastAsia" w:ascii="宋体" w:hAnsi="宋体" w:eastAsia="宋体" w:cs="宋体"/>
                <w:kern w:val="0"/>
                <w:sz w:val="20"/>
                <w:szCs w:val="20"/>
                <w:lang w:eastAsia="zh-CN" w:bidi="ar"/>
              </w:rPr>
              <w:t>（法定代表人</w:t>
            </w:r>
            <w:r>
              <w:rPr>
                <w:rFonts w:hint="eastAsia" w:ascii="宋体" w:hAnsi="宋体" w:eastAsia="宋体" w:cs="宋体"/>
                <w:kern w:val="0"/>
                <w:sz w:val="20"/>
                <w:szCs w:val="20"/>
                <w:lang w:val="en-US" w:eastAsia="zh-CN" w:bidi="ar"/>
              </w:rPr>
              <w:t>或负责人</w:t>
            </w:r>
            <w:r>
              <w:rPr>
                <w:rFonts w:hint="eastAsia" w:ascii="宋体" w:hAnsi="宋体" w:eastAsia="宋体" w:cs="宋体"/>
                <w:kern w:val="0"/>
                <w:sz w:val="20"/>
                <w:szCs w:val="20"/>
                <w:lang w:eastAsia="zh-CN" w:bidi="ar"/>
              </w:rPr>
              <w:t>可不提供）</w:t>
            </w:r>
          </w:p>
        </w:tc>
        <w:tc>
          <w:tcPr>
            <w:tcW w:w="1512" w:type="dxa"/>
            <w:tcBorders>
              <w:top w:val="nil"/>
              <w:left w:val="nil"/>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c>
          <w:tcPr>
            <w:tcW w:w="1511" w:type="dxa"/>
            <w:tcBorders>
              <w:top w:val="nil"/>
              <w:left w:val="nil"/>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c>
          <w:tcPr>
            <w:tcW w:w="1512" w:type="dxa"/>
            <w:tcBorders>
              <w:top w:val="nil"/>
              <w:left w:val="nil"/>
              <w:right w:val="single" w:color="000000" w:sz="8"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c>
          <w:tcPr>
            <w:tcW w:w="1511" w:type="dxa"/>
            <w:tcBorders>
              <w:top w:val="nil"/>
              <w:lef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w:t>
            </w:r>
          </w:p>
        </w:tc>
      </w:tr>
    </w:tbl>
    <w:p>
      <w:pPr>
        <w:widowControl/>
        <w:numPr>
          <w:ilvl w:val="-1"/>
          <w:numId w:val="0"/>
        </w:numPr>
        <w:adjustRightInd w:val="0"/>
        <w:spacing w:line="360" w:lineRule="auto"/>
        <w:ind w:firstLine="0" w:firstLineChars="0"/>
        <w:rPr>
          <w:rFonts w:hint="default" w:asciiTheme="minorEastAsia" w:hAnsiTheme="minorEastAsia"/>
          <w:b/>
          <w:bCs/>
          <w:color w:val="FF0000"/>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BF4155"/>
    <w:rsid w:val="0041588B"/>
    <w:rsid w:val="00484365"/>
    <w:rsid w:val="00503C93"/>
    <w:rsid w:val="005B39B6"/>
    <w:rsid w:val="00625A21"/>
    <w:rsid w:val="006816B1"/>
    <w:rsid w:val="007E13DC"/>
    <w:rsid w:val="009569A5"/>
    <w:rsid w:val="00DE5D8B"/>
    <w:rsid w:val="00E57912"/>
    <w:rsid w:val="02D35DB3"/>
    <w:rsid w:val="039F6B6F"/>
    <w:rsid w:val="04680FFE"/>
    <w:rsid w:val="04AD480F"/>
    <w:rsid w:val="06A938C1"/>
    <w:rsid w:val="06EF4BB7"/>
    <w:rsid w:val="07657495"/>
    <w:rsid w:val="08312445"/>
    <w:rsid w:val="0AED4B98"/>
    <w:rsid w:val="0B871F21"/>
    <w:rsid w:val="0E844150"/>
    <w:rsid w:val="100A585E"/>
    <w:rsid w:val="106A316F"/>
    <w:rsid w:val="14CE3A4E"/>
    <w:rsid w:val="159700A4"/>
    <w:rsid w:val="15CD6A48"/>
    <w:rsid w:val="15E7626E"/>
    <w:rsid w:val="17FF5D5E"/>
    <w:rsid w:val="1866569F"/>
    <w:rsid w:val="197404AD"/>
    <w:rsid w:val="19A9043B"/>
    <w:rsid w:val="19BD044B"/>
    <w:rsid w:val="1A7D00FD"/>
    <w:rsid w:val="1CD00DA9"/>
    <w:rsid w:val="1D4B1F83"/>
    <w:rsid w:val="207D1754"/>
    <w:rsid w:val="22DD57DE"/>
    <w:rsid w:val="23561FEB"/>
    <w:rsid w:val="26432022"/>
    <w:rsid w:val="27406FF6"/>
    <w:rsid w:val="2953463A"/>
    <w:rsid w:val="29A65CC4"/>
    <w:rsid w:val="2B2C42A5"/>
    <w:rsid w:val="2B3F58D6"/>
    <w:rsid w:val="2BB96074"/>
    <w:rsid w:val="2C5D2778"/>
    <w:rsid w:val="2CC31271"/>
    <w:rsid w:val="2CE4452F"/>
    <w:rsid w:val="2DAC6AA2"/>
    <w:rsid w:val="2EA50067"/>
    <w:rsid w:val="307A0518"/>
    <w:rsid w:val="35CE04C8"/>
    <w:rsid w:val="363B0683"/>
    <w:rsid w:val="37EF5A09"/>
    <w:rsid w:val="38CB279E"/>
    <w:rsid w:val="38F92F02"/>
    <w:rsid w:val="39D25F2E"/>
    <w:rsid w:val="3B406D87"/>
    <w:rsid w:val="3C1D1A02"/>
    <w:rsid w:val="3CBF4155"/>
    <w:rsid w:val="3D30742B"/>
    <w:rsid w:val="3E0B612F"/>
    <w:rsid w:val="401A7E19"/>
    <w:rsid w:val="409F723B"/>
    <w:rsid w:val="42D76315"/>
    <w:rsid w:val="435B1522"/>
    <w:rsid w:val="44A0178B"/>
    <w:rsid w:val="44E97330"/>
    <w:rsid w:val="45283CFE"/>
    <w:rsid w:val="46A3360C"/>
    <w:rsid w:val="48AA75C3"/>
    <w:rsid w:val="4A0633A4"/>
    <w:rsid w:val="4D830B3C"/>
    <w:rsid w:val="4D9511BC"/>
    <w:rsid w:val="4DB50DBC"/>
    <w:rsid w:val="4DC908FC"/>
    <w:rsid w:val="511C1E25"/>
    <w:rsid w:val="53524223"/>
    <w:rsid w:val="54E00AD0"/>
    <w:rsid w:val="55FA5051"/>
    <w:rsid w:val="5616295C"/>
    <w:rsid w:val="569C3A84"/>
    <w:rsid w:val="58062BD5"/>
    <w:rsid w:val="58200A88"/>
    <w:rsid w:val="59D6742B"/>
    <w:rsid w:val="59EF3FDC"/>
    <w:rsid w:val="59F00F36"/>
    <w:rsid w:val="5A920D85"/>
    <w:rsid w:val="5CC07026"/>
    <w:rsid w:val="5ED121FF"/>
    <w:rsid w:val="64516B84"/>
    <w:rsid w:val="669E029D"/>
    <w:rsid w:val="673A7D10"/>
    <w:rsid w:val="68FC3EF1"/>
    <w:rsid w:val="69221585"/>
    <w:rsid w:val="6A0847E7"/>
    <w:rsid w:val="6CAE57D9"/>
    <w:rsid w:val="6D6A3304"/>
    <w:rsid w:val="6DEB3B69"/>
    <w:rsid w:val="6E297276"/>
    <w:rsid w:val="6EBE14EA"/>
    <w:rsid w:val="6F187E03"/>
    <w:rsid w:val="6F25410C"/>
    <w:rsid w:val="6F84744A"/>
    <w:rsid w:val="70BC155E"/>
    <w:rsid w:val="7108301E"/>
    <w:rsid w:val="711336FC"/>
    <w:rsid w:val="72F73E7D"/>
    <w:rsid w:val="737C5719"/>
    <w:rsid w:val="75695924"/>
    <w:rsid w:val="75ED6EA0"/>
    <w:rsid w:val="76F11081"/>
    <w:rsid w:val="78A64624"/>
    <w:rsid w:val="7D483738"/>
    <w:rsid w:val="7D4E6DBA"/>
    <w:rsid w:val="B35F9E11"/>
    <w:rsid w:val="E4BD83AA"/>
    <w:rsid w:val="FF3DF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ind w:firstLine="420"/>
    </w:pPr>
  </w:style>
  <w:style w:type="paragraph" w:styleId="3">
    <w:name w:val="Body Text Indent"/>
    <w:basedOn w:val="1"/>
    <w:qFormat/>
    <w:uiPriority w:val="0"/>
    <w:pPr>
      <w:spacing w:after="120"/>
      <w:ind w:left="420" w:leftChars="200"/>
    </w:pPr>
  </w:style>
  <w:style w:type="paragraph" w:customStyle="1" w:styleId="4">
    <w:name w:val="表格文字"/>
    <w:basedOn w:val="5"/>
    <w:next w:val="1"/>
    <w:qFormat/>
    <w:uiPriority w:val="0"/>
    <w:pPr>
      <w:ind w:firstLine="0" w:firstLineChars="0"/>
      <w:jc w:val="center"/>
    </w:pPr>
    <w:rPr>
      <w:szCs w:val="20"/>
    </w:rPr>
  </w:style>
  <w:style w:type="paragraph" w:styleId="5">
    <w:name w:val="List"/>
    <w:basedOn w:val="1"/>
    <w:qFormat/>
    <w:uiPriority w:val="0"/>
    <w:pPr>
      <w:ind w:left="200" w:hanging="200" w:hangingChars="200"/>
      <w:contextualSpacing/>
    </w:pPr>
  </w:style>
  <w:style w:type="paragraph" w:styleId="6">
    <w:name w:val="annotation text"/>
    <w:basedOn w:val="1"/>
    <w:qFormat/>
    <w:uiPriority w:val="0"/>
    <w:pPr>
      <w:jc w:val="left"/>
    </w:pPr>
  </w:style>
  <w:style w:type="paragraph" w:styleId="7">
    <w:name w:val="Body Text"/>
    <w:basedOn w:val="1"/>
    <w:next w:val="1"/>
    <w:qFormat/>
    <w:uiPriority w:val="1"/>
    <w:pPr>
      <w:ind w:left="100"/>
    </w:pPr>
    <w:rPr>
      <w:rFonts w:ascii="宋体" w:hAnsi="宋体"/>
      <w:szCs w:val="21"/>
      <w:lang w:eastAsia="en-US"/>
    </w:rPr>
  </w:style>
  <w:style w:type="paragraph" w:styleId="8">
    <w:name w:val="footer"/>
    <w:basedOn w:val="1"/>
    <w:link w:val="15"/>
    <w:qFormat/>
    <w:uiPriority w:val="0"/>
    <w:pPr>
      <w:tabs>
        <w:tab w:val="center" w:pos="4153"/>
        <w:tab w:val="right" w:pos="8306"/>
      </w:tabs>
      <w:snapToGrid w:val="0"/>
      <w:jc w:val="left"/>
    </w:pPr>
    <w:rPr>
      <w:sz w:val="18"/>
      <w:szCs w:val="18"/>
    </w:rPr>
  </w:style>
  <w:style w:type="paragraph" w:styleId="9">
    <w:name w:val="header"/>
    <w:basedOn w:val="1"/>
    <w:link w:val="14"/>
    <w:qFormat/>
    <w:uiPriority w:val="0"/>
    <w:pPr>
      <w:tabs>
        <w:tab w:val="center" w:pos="4153"/>
        <w:tab w:val="right" w:pos="8306"/>
      </w:tabs>
      <w:snapToGrid w:val="0"/>
      <w:jc w:val="center"/>
    </w:pPr>
    <w:rPr>
      <w:sz w:val="18"/>
      <w:szCs w:val="18"/>
    </w:rPr>
  </w:style>
  <w:style w:type="character" w:styleId="12">
    <w:name w:val="annotation reference"/>
    <w:basedOn w:val="11"/>
    <w:qFormat/>
    <w:uiPriority w:val="0"/>
    <w:rPr>
      <w:sz w:val="21"/>
      <w:szCs w:val="21"/>
    </w:rPr>
  </w:style>
  <w:style w:type="paragraph" w:styleId="13">
    <w:name w:val="List Paragraph"/>
    <w:basedOn w:val="1"/>
    <w:unhideWhenUsed/>
    <w:qFormat/>
    <w:uiPriority w:val="99"/>
    <w:pPr>
      <w:ind w:firstLine="420" w:firstLineChars="200"/>
    </w:pPr>
  </w:style>
  <w:style w:type="character" w:customStyle="1" w:styleId="14">
    <w:name w:val="页眉 字符"/>
    <w:basedOn w:val="11"/>
    <w:link w:val="9"/>
    <w:qFormat/>
    <w:uiPriority w:val="0"/>
    <w:rPr>
      <w:rFonts w:asciiTheme="minorHAnsi" w:hAnsiTheme="minorHAnsi" w:eastAsiaTheme="minorEastAsia" w:cstheme="minorBidi"/>
      <w:kern w:val="2"/>
      <w:sz w:val="18"/>
      <w:szCs w:val="18"/>
    </w:rPr>
  </w:style>
  <w:style w:type="character" w:customStyle="1" w:styleId="15">
    <w:name w:val="页脚 字符"/>
    <w:basedOn w:val="11"/>
    <w:link w:val="8"/>
    <w:qFormat/>
    <w:uiPriority w:val="0"/>
    <w:rPr>
      <w:rFonts w:asciiTheme="minorHAnsi" w:hAnsiTheme="minorHAnsi" w:eastAsiaTheme="minorEastAsia" w:cstheme="minorBidi"/>
      <w:kern w:val="2"/>
      <w:sz w:val="18"/>
      <w:szCs w:val="18"/>
    </w:rPr>
  </w:style>
  <w:style w:type="paragraph" w:customStyle="1" w:styleId="16">
    <w:name w:val="本文正文"/>
    <w:basedOn w:val="1"/>
    <w:qFormat/>
    <w:uiPriority w:val="0"/>
    <w:pPr>
      <w:tabs>
        <w:tab w:val="left" w:pos="630"/>
      </w:tabs>
      <w:adjustRightInd w:val="0"/>
      <w:spacing w:line="360" w:lineRule="exact"/>
    </w:pPr>
    <w:rPr>
      <w:color w:val="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1563</Words>
  <Characters>1619</Characters>
  <Lines>17</Lines>
  <Paragraphs>4</Paragraphs>
  <TotalTime>33</TotalTime>
  <ScaleCrop>false</ScaleCrop>
  <LinksUpToDate>false</LinksUpToDate>
  <CharactersWithSpaces>1623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2023-05-31T09:23:00Z</dcterms:created>
  <dc:creator>Administrator</dc:creator>
  <cp:lastModifiedBy>Administrator</cp:lastModifiedBy>
  <dcterms:modified xsi:type="dcterms:W3CDTF">2025-11-07T12:04:20Z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05079AE4A62946238D6882F217B2C56B</vt:lpwstr>
  </property>
  <property fmtid="{D5CDD505-2E9C-101B-9397-08002B2CF9AE}" pid="4" name="KSOTemplateDocerSaveRecord">
    <vt:lpwstr>eyJoZGlkIjoiYzQ3ZWRiMjBhZWY4MTE3NTkwMDMzZDc5OGE5NmUyODQiLCJ1c2VySWQiOiIxMzQzMTEzMDE1In0=</vt:lpwstr>
  </property>
</Properties>
</file>